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2F31F" w14:textId="77777777" w:rsidR="00CD1B1C" w:rsidRDefault="00CD1B1C" w:rsidP="00A26050">
      <w:pPr>
        <w:pBdr>
          <w:top w:val="single" w:sz="4" w:space="1" w:color="auto"/>
        </w:pBdr>
        <w:spacing w:line="240" w:lineRule="auto"/>
        <w:jc w:val="center"/>
        <w:rPr>
          <w:b/>
          <w:szCs w:val="24"/>
        </w:rPr>
      </w:pPr>
      <w:bookmarkStart w:id="0" w:name="_GoBack"/>
      <w:bookmarkEnd w:id="0"/>
    </w:p>
    <w:p w14:paraId="2025C641" w14:textId="77777777" w:rsidR="000E237F" w:rsidRPr="00BE650A" w:rsidRDefault="000E237F" w:rsidP="00A26050">
      <w:pPr>
        <w:pBdr>
          <w:top w:val="single" w:sz="4" w:space="1" w:color="auto"/>
        </w:pBdr>
        <w:spacing w:line="240" w:lineRule="auto"/>
        <w:jc w:val="center"/>
        <w:rPr>
          <w:b/>
          <w:szCs w:val="24"/>
        </w:rPr>
      </w:pPr>
      <w:r w:rsidRPr="00BE650A">
        <w:rPr>
          <w:b/>
          <w:szCs w:val="24"/>
        </w:rPr>
        <w:t>UNITED STATES DISTRICT COURT</w:t>
      </w:r>
    </w:p>
    <w:p w14:paraId="643364DB" w14:textId="77777777" w:rsidR="000E237F" w:rsidRPr="00BE650A" w:rsidRDefault="000E237F" w:rsidP="00BE650A">
      <w:pPr>
        <w:spacing w:line="240" w:lineRule="auto"/>
        <w:ind w:left="107"/>
        <w:jc w:val="center"/>
        <w:rPr>
          <w:b/>
          <w:szCs w:val="24"/>
        </w:rPr>
      </w:pPr>
      <w:r w:rsidRPr="00BE650A">
        <w:rPr>
          <w:b/>
          <w:szCs w:val="24"/>
        </w:rPr>
        <w:t>DISTRICT OF MOOT</w:t>
      </w:r>
    </w:p>
    <w:tbl>
      <w:tblPr>
        <w:tblW w:w="0" w:type="auto"/>
        <w:tblLook w:val="00A0" w:firstRow="1" w:lastRow="0" w:firstColumn="1" w:lastColumn="0" w:noHBand="0" w:noVBand="0"/>
      </w:tblPr>
      <w:tblGrid>
        <w:gridCol w:w="4358"/>
        <w:gridCol w:w="5218"/>
      </w:tblGrid>
      <w:tr w:rsidR="000E237F" w:rsidRPr="00BE650A" w14:paraId="7D4E5B4D" w14:textId="77777777" w:rsidTr="00A26050">
        <w:tc>
          <w:tcPr>
            <w:tcW w:w="4358" w:type="dxa"/>
            <w:tcBorders>
              <w:left w:val="nil"/>
              <w:bottom w:val="single" w:sz="4" w:space="0" w:color="auto"/>
              <w:right w:val="nil"/>
            </w:tcBorders>
          </w:tcPr>
          <w:p w14:paraId="22B11D12" w14:textId="77777777" w:rsidR="000E237F" w:rsidRPr="003122A6" w:rsidRDefault="000E237F" w:rsidP="003122A6">
            <w:pPr>
              <w:spacing w:line="240" w:lineRule="auto"/>
              <w:rPr>
                <w:szCs w:val="24"/>
              </w:rPr>
            </w:pPr>
          </w:p>
          <w:p w14:paraId="7FB50A83" w14:textId="77777777" w:rsidR="000E237F" w:rsidRPr="003122A6" w:rsidRDefault="000E237F" w:rsidP="003122A6">
            <w:pPr>
              <w:spacing w:line="240" w:lineRule="auto"/>
              <w:rPr>
                <w:szCs w:val="24"/>
              </w:rPr>
            </w:pPr>
            <w:r w:rsidRPr="003122A6">
              <w:rPr>
                <w:szCs w:val="24"/>
              </w:rPr>
              <w:t>OGS TV, INC.</w:t>
            </w:r>
          </w:p>
          <w:p w14:paraId="5F612EA9" w14:textId="77777777" w:rsidR="000E237F" w:rsidRPr="003122A6" w:rsidRDefault="000E237F" w:rsidP="003122A6">
            <w:pPr>
              <w:spacing w:line="240" w:lineRule="auto"/>
              <w:rPr>
                <w:szCs w:val="24"/>
              </w:rPr>
            </w:pPr>
          </w:p>
          <w:p w14:paraId="2E47F8F7" w14:textId="77777777" w:rsidR="000E237F" w:rsidRPr="003122A6" w:rsidRDefault="000E237F" w:rsidP="003122A6">
            <w:pPr>
              <w:spacing w:line="240" w:lineRule="auto"/>
              <w:ind w:left="2880"/>
              <w:rPr>
                <w:szCs w:val="24"/>
              </w:rPr>
            </w:pPr>
            <w:r w:rsidRPr="003122A6">
              <w:rPr>
                <w:szCs w:val="24"/>
              </w:rPr>
              <w:t>Plaintiff,</w:t>
            </w:r>
          </w:p>
          <w:p w14:paraId="1A26E0F8" w14:textId="77777777" w:rsidR="000E237F" w:rsidRPr="003122A6" w:rsidRDefault="000E237F" w:rsidP="003122A6">
            <w:pPr>
              <w:spacing w:line="240" w:lineRule="auto"/>
              <w:rPr>
                <w:szCs w:val="24"/>
              </w:rPr>
            </w:pPr>
          </w:p>
          <w:p w14:paraId="60913746" w14:textId="77777777" w:rsidR="000E237F" w:rsidRPr="003122A6" w:rsidRDefault="000E237F" w:rsidP="003122A6">
            <w:pPr>
              <w:spacing w:line="240" w:lineRule="auto"/>
              <w:rPr>
                <w:szCs w:val="24"/>
              </w:rPr>
            </w:pPr>
            <w:r w:rsidRPr="003122A6">
              <w:rPr>
                <w:szCs w:val="24"/>
              </w:rPr>
              <w:t>vs.</w:t>
            </w:r>
          </w:p>
          <w:p w14:paraId="3E026693" w14:textId="77777777" w:rsidR="000E237F" w:rsidRPr="003122A6" w:rsidRDefault="000E237F" w:rsidP="003122A6">
            <w:pPr>
              <w:spacing w:line="240" w:lineRule="auto"/>
              <w:rPr>
                <w:szCs w:val="24"/>
              </w:rPr>
            </w:pPr>
          </w:p>
          <w:p w14:paraId="7D25EFB0" w14:textId="77777777" w:rsidR="000E237F" w:rsidRPr="003122A6" w:rsidRDefault="000E237F" w:rsidP="003122A6">
            <w:pPr>
              <w:spacing w:line="240" w:lineRule="auto"/>
              <w:rPr>
                <w:szCs w:val="24"/>
              </w:rPr>
            </w:pPr>
            <w:r w:rsidRPr="003122A6">
              <w:rPr>
                <w:szCs w:val="24"/>
              </w:rPr>
              <w:t>Elizabeth Lime, and TinyTV, Inc.</w:t>
            </w:r>
          </w:p>
          <w:p w14:paraId="33692E6C" w14:textId="77777777" w:rsidR="000E237F" w:rsidRPr="003122A6" w:rsidRDefault="000E237F" w:rsidP="003122A6">
            <w:pPr>
              <w:spacing w:line="240" w:lineRule="auto"/>
              <w:rPr>
                <w:szCs w:val="24"/>
              </w:rPr>
            </w:pPr>
          </w:p>
          <w:p w14:paraId="6526A5E5" w14:textId="77777777" w:rsidR="000E237F" w:rsidRPr="003122A6" w:rsidRDefault="000E237F" w:rsidP="003122A6">
            <w:pPr>
              <w:spacing w:line="240" w:lineRule="auto"/>
              <w:ind w:left="2880"/>
              <w:rPr>
                <w:szCs w:val="24"/>
              </w:rPr>
            </w:pPr>
            <w:r w:rsidRPr="003122A6">
              <w:rPr>
                <w:szCs w:val="24"/>
              </w:rPr>
              <w:t>Defendants.</w:t>
            </w:r>
          </w:p>
          <w:p w14:paraId="16B73908" w14:textId="77777777" w:rsidR="000E237F" w:rsidRPr="003122A6" w:rsidRDefault="000E237F" w:rsidP="003122A6">
            <w:pPr>
              <w:spacing w:line="240" w:lineRule="auto"/>
              <w:rPr>
                <w:szCs w:val="24"/>
              </w:rPr>
            </w:pPr>
          </w:p>
        </w:tc>
        <w:tc>
          <w:tcPr>
            <w:tcW w:w="5218" w:type="dxa"/>
            <w:tcBorders>
              <w:left w:val="nil"/>
              <w:bottom w:val="single" w:sz="4" w:space="0" w:color="auto"/>
              <w:right w:val="nil"/>
            </w:tcBorders>
          </w:tcPr>
          <w:p w14:paraId="0E139E88" w14:textId="77777777" w:rsidR="000E237F" w:rsidRPr="003122A6" w:rsidRDefault="000E237F" w:rsidP="003122A6">
            <w:pPr>
              <w:spacing w:line="240" w:lineRule="auto"/>
              <w:jc w:val="right"/>
              <w:rPr>
                <w:szCs w:val="24"/>
              </w:rPr>
            </w:pPr>
            <w:r w:rsidRPr="003122A6">
              <w:rPr>
                <w:szCs w:val="24"/>
              </w:rPr>
              <w:t>Court File No. 27-CV-12-1234</w:t>
            </w:r>
          </w:p>
          <w:p w14:paraId="21B58AD8" w14:textId="77777777" w:rsidR="000E237F" w:rsidRPr="003122A6" w:rsidRDefault="000E237F" w:rsidP="003122A6">
            <w:pPr>
              <w:spacing w:line="240" w:lineRule="auto"/>
              <w:jc w:val="right"/>
              <w:rPr>
                <w:szCs w:val="24"/>
              </w:rPr>
            </w:pPr>
          </w:p>
          <w:p w14:paraId="4C9C463A" w14:textId="77777777" w:rsidR="000E237F" w:rsidRPr="00BE650A" w:rsidRDefault="000E237F" w:rsidP="00BE650A">
            <w:pPr>
              <w:pStyle w:val="Default"/>
            </w:pPr>
          </w:p>
          <w:p w14:paraId="223EFD08" w14:textId="77777777" w:rsidR="000E237F" w:rsidRDefault="000E237F" w:rsidP="003122A6">
            <w:pPr>
              <w:spacing w:line="240" w:lineRule="auto"/>
              <w:ind w:left="1152"/>
              <w:rPr>
                <w:b/>
                <w:szCs w:val="24"/>
                <w:u w:val="single"/>
              </w:rPr>
            </w:pPr>
            <w:r w:rsidRPr="003122A6">
              <w:rPr>
                <w:b/>
                <w:szCs w:val="24"/>
                <w:u w:val="single"/>
              </w:rPr>
              <w:t>MEMORANDUM OF LAW IN SUPPORT OF DEFENDANTS’ MOTION TO DISMISS UNDER FEDERAL RULE OF CIVIL PROCEDURE 12(B)(6)</w:t>
            </w:r>
          </w:p>
          <w:p w14:paraId="657DED34" w14:textId="77777777" w:rsidR="00A26050" w:rsidRDefault="00A26050" w:rsidP="003122A6">
            <w:pPr>
              <w:spacing w:line="240" w:lineRule="auto"/>
              <w:ind w:left="1152"/>
              <w:rPr>
                <w:b/>
                <w:szCs w:val="24"/>
                <w:u w:val="single"/>
              </w:rPr>
            </w:pPr>
          </w:p>
          <w:p w14:paraId="2B01C0CE" w14:textId="77777777" w:rsidR="00A26050" w:rsidRPr="003122A6" w:rsidRDefault="00A26050" w:rsidP="003122A6">
            <w:pPr>
              <w:spacing w:line="240" w:lineRule="auto"/>
              <w:ind w:left="1152"/>
              <w:rPr>
                <w:b/>
                <w:szCs w:val="24"/>
                <w:u w:val="single"/>
              </w:rPr>
            </w:pPr>
          </w:p>
        </w:tc>
      </w:tr>
    </w:tbl>
    <w:p w14:paraId="42118937" w14:textId="77777777" w:rsidR="000E237F" w:rsidRPr="00BE650A" w:rsidRDefault="000E237F" w:rsidP="00BE650A">
      <w:pPr>
        <w:spacing w:line="240" w:lineRule="auto"/>
        <w:ind w:left="107"/>
        <w:rPr>
          <w:szCs w:val="24"/>
        </w:rPr>
      </w:pPr>
      <w:r w:rsidRPr="00BE650A">
        <w:rPr>
          <w:szCs w:val="24"/>
        </w:rPr>
        <w:t> </w:t>
      </w:r>
    </w:p>
    <w:p w14:paraId="35C9E0B7" w14:textId="77777777" w:rsidR="000E237F" w:rsidRPr="00BE650A" w:rsidRDefault="000E237F" w:rsidP="00BE650A">
      <w:pPr>
        <w:jc w:val="center"/>
        <w:rPr>
          <w:b/>
          <w:szCs w:val="24"/>
          <w:u w:val="single"/>
        </w:rPr>
      </w:pPr>
      <w:r w:rsidRPr="00BE650A">
        <w:rPr>
          <w:b/>
          <w:szCs w:val="24"/>
          <w:u w:val="single"/>
        </w:rPr>
        <w:t>INTRODUCTION</w:t>
      </w:r>
    </w:p>
    <w:p w14:paraId="1CBEAF3D" w14:textId="77777777" w:rsidR="000E237F" w:rsidRPr="00BE650A" w:rsidRDefault="000E237F" w:rsidP="00BE650A">
      <w:pPr>
        <w:rPr>
          <w:szCs w:val="24"/>
        </w:rPr>
      </w:pPr>
      <w:r w:rsidRPr="00BE650A">
        <w:rPr>
          <w:szCs w:val="24"/>
        </w:rPr>
        <w:tab/>
        <w:t xml:space="preserve">The Defendants, Elizabeth Lime (“Lime”) and TinyTV, Inc. (“TinyTV”) submit this memorandum in support of their Motion to Dismiss under Federal Rule of Civil Procedure 12(b)(6), for Plaintiff’s failure to state a claim upon which relief can be granted.  </w:t>
      </w:r>
      <w:r w:rsidR="00AD6520">
        <w:rPr>
          <w:szCs w:val="24"/>
        </w:rPr>
        <w:t>In this case</w:t>
      </w:r>
      <w:r w:rsidR="00AD6520" w:rsidRPr="00BE650A">
        <w:rPr>
          <w:szCs w:val="24"/>
        </w:rPr>
        <w:t xml:space="preserve"> Plaintiff</w:t>
      </w:r>
      <w:r w:rsidR="00AD6520">
        <w:rPr>
          <w:szCs w:val="24"/>
        </w:rPr>
        <w:t xml:space="preserve"> OGS TV</w:t>
      </w:r>
      <w:r w:rsidRPr="00BE650A">
        <w:rPr>
          <w:szCs w:val="24"/>
        </w:rPr>
        <w:t xml:space="preserve"> Inc. (“OGS”) claims that Lime and TinyTV violated the federal Copyright Act of 1976 (“Act”), 17 U.S.C. §</w:t>
      </w:r>
      <w:r w:rsidR="00DD6E01">
        <w:rPr>
          <w:szCs w:val="24"/>
        </w:rPr>
        <w:t xml:space="preserve">§ </w:t>
      </w:r>
      <w:r w:rsidRPr="00BE650A">
        <w:rPr>
          <w:szCs w:val="24"/>
        </w:rPr>
        <w:t xml:space="preserve"> 101</w:t>
      </w:r>
      <w:r w:rsidR="00DD6E01">
        <w:rPr>
          <w:szCs w:val="24"/>
        </w:rPr>
        <w:t>-1332 (2006)</w:t>
      </w:r>
      <w:r w:rsidRPr="00BE650A">
        <w:rPr>
          <w:szCs w:val="24"/>
        </w:rPr>
        <w:t>, alleging that Defendants produced and performed a screenplay copied in substantial part from Plaintiff’s copyrighted screenplay without Plaintiff’s knowledge or consent.  Plaintiff claims that Defendants’ actions have resulted in lost advertising reve</w:t>
      </w:r>
      <w:r w:rsidR="00AD6520">
        <w:rPr>
          <w:szCs w:val="24"/>
        </w:rPr>
        <w:t xml:space="preserve">nue and lost value of </w:t>
      </w:r>
      <w:r w:rsidRPr="00BE650A">
        <w:rPr>
          <w:szCs w:val="24"/>
        </w:rPr>
        <w:t xml:space="preserve">Lime’s fee for </w:t>
      </w:r>
      <w:r w:rsidR="00AD6520">
        <w:rPr>
          <w:szCs w:val="24"/>
        </w:rPr>
        <w:t xml:space="preserve">writing </w:t>
      </w:r>
      <w:r w:rsidRPr="00BE650A">
        <w:rPr>
          <w:szCs w:val="24"/>
        </w:rPr>
        <w:t xml:space="preserve">the screenplay.  However, the </w:t>
      </w:r>
      <w:r w:rsidR="00AD6520">
        <w:rPr>
          <w:szCs w:val="24"/>
        </w:rPr>
        <w:t>Plaintiff presents no facts to</w:t>
      </w:r>
      <w:r w:rsidRPr="00BE650A">
        <w:rPr>
          <w:szCs w:val="24"/>
        </w:rPr>
        <w:t xml:space="preserve"> show that OGS was the author </w:t>
      </w:r>
      <w:r w:rsidR="00AD6520">
        <w:rPr>
          <w:szCs w:val="24"/>
        </w:rPr>
        <w:t xml:space="preserve">or copyright holder </w:t>
      </w:r>
      <w:r w:rsidRPr="00BE650A">
        <w:rPr>
          <w:szCs w:val="24"/>
        </w:rPr>
        <w:t>of the screenplay.  A work-made-for-hire agreement was not written and signed prior to the development of the screenplay, an</w:t>
      </w:r>
      <w:r w:rsidR="00AD6520">
        <w:rPr>
          <w:szCs w:val="24"/>
        </w:rPr>
        <w:t>d therefore the screenplay cannot be considered</w:t>
      </w:r>
      <w:r w:rsidRPr="00BE650A">
        <w:rPr>
          <w:szCs w:val="24"/>
        </w:rPr>
        <w:t xml:space="preserve"> a work-made-for-hire.</w:t>
      </w:r>
    </w:p>
    <w:p w14:paraId="5A557A12" w14:textId="77777777" w:rsidR="000E237F" w:rsidRPr="00BE650A" w:rsidRDefault="000E237F" w:rsidP="00BE650A">
      <w:pPr>
        <w:rPr>
          <w:szCs w:val="24"/>
        </w:rPr>
      </w:pPr>
      <w:r w:rsidRPr="00BE650A">
        <w:rPr>
          <w:szCs w:val="24"/>
        </w:rPr>
        <w:tab/>
        <w:t>O</w:t>
      </w:r>
      <w:r w:rsidR="00AD6520">
        <w:rPr>
          <w:szCs w:val="24"/>
        </w:rPr>
        <w:t>GS’s case should be dismissed because</w:t>
      </w:r>
      <w:r w:rsidRPr="00BE650A">
        <w:rPr>
          <w:szCs w:val="24"/>
        </w:rPr>
        <w:t xml:space="preserve"> the Complaint fails to state a claim under the Act.  The plain language, legislative history, canons of statutory interpretation and case law are in support of a direct reading of the Act, requiring “the parties expressly agree in a </w:t>
      </w:r>
      <w:r w:rsidRPr="00BE650A">
        <w:rPr>
          <w:i/>
          <w:szCs w:val="24"/>
        </w:rPr>
        <w:t xml:space="preserve">written </w:t>
      </w:r>
      <w:r w:rsidRPr="00BE650A">
        <w:rPr>
          <w:i/>
          <w:szCs w:val="24"/>
        </w:rPr>
        <w:lastRenderedPageBreak/>
        <w:t xml:space="preserve">instrument </w:t>
      </w:r>
      <w:r w:rsidRPr="00BE650A">
        <w:rPr>
          <w:szCs w:val="24"/>
        </w:rPr>
        <w:t xml:space="preserve">signed by them”, before the work shall be considered a work </w:t>
      </w:r>
      <w:r w:rsidR="00DD6E01">
        <w:rPr>
          <w:szCs w:val="24"/>
        </w:rPr>
        <w:t xml:space="preserve">made for hire. </w:t>
      </w:r>
      <w:proofErr w:type="gramStart"/>
      <w:r w:rsidR="00DD6E01">
        <w:rPr>
          <w:szCs w:val="24"/>
        </w:rPr>
        <w:t>17 U.S.C. § 101</w:t>
      </w:r>
      <w:r w:rsidRPr="00BE650A">
        <w:rPr>
          <w:szCs w:val="24"/>
        </w:rPr>
        <w:t>.</w:t>
      </w:r>
      <w:proofErr w:type="gramEnd"/>
      <w:r w:rsidRPr="00BE650A">
        <w:rPr>
          <w:szCs w:val="24"/>
        </w:rPr>
        <w:t xml:space="preserve"> </w:t>
      </w:r>
    </w:p>
    <w:p w14:paraId="1C38E640" w14:textId="77777777" w:rsidR="000E237F" w:rsidRPr="00BE650A" w:rsidRDefault="000E237F" w:rsidP="00BE650A">
      <w:pPr>
        <w:jc w:val="center"/>
        <w:rPr>
          <w:b/>
          <w:szCs w:val="24"/>
          <w:u w:val="single"/>
        </w:rPr>
      </w:pPr>
      <w:r w:rsidRPr="00BE650A">
        <w:rPr>
          <w:b/>
          <w:szCs w:val="24"/>
          <w:u w:val="single"/>
        </w:rPr>
        <w:t>FACTS</w:t>
      </w:r>
    </w:p>
    <w:p w14:paraId="4DE5D355" w14:textId="77777777" w:rsidR="000E237F" w:rsidRPr="00BE650A" w:rsidRDefault="000E237F" w:rsidP="00BE650A">
      <w:pPr>
        <w:rPr>
          <w:szCs w:val="24"/>
        </w:rPr>
      </w:pPr>
      <w:r w:rsidRPr="00BE650A">
        <w:rPr>
          <w:szCs w:val="24"/>
        </w:rPr>
        <w:tab/>
        <w:t>Lime is a well-known television writer with more than fifteen years of expe</w:t>
      </w:r>
      <w:r w:rsidR="00811B32">
        <w:rPr>
          <w:szCs w:val="24"/>
        </w:rPr>
        <w:t xml:space="preserve">rience writing for television. </w:t>
      </w:r>
      <w:r w:rsidRPr="00BE650A">
        <w:rPr>
          <w:szCs w:val="24"/>
        </w:rPr>
        <w:t>Co</w:t>
      </w:r>
      <w:r w:rsidR="00811B32">
        <w:rPr>
          <w:szCs w:val="24"/>
        </w:rPr>
        <w:t>mpl. ¶ 11.</w:t>
      </w:r>
      <w:r w:rsidRPr="00BE650A">
        <w:rPr>
          <w:szCs w:val="24"/>
        </w:rPr>
        <w:t xml:space="preserve">  Plaintiff has created, produced, and aired an original television series entitled </w:t>
      </w:r>
      <w:r w:rsidRPr="00BE650A">
        <w:rPr>
          <w:i/>
          <w:szCs w:val="24"/>
        </w:rPr>
        <w:t xml:space="preserve">Lawless </w:t>
      </w:r>
      <w:r w:rsidR="008C1C83" w:rsidRPr="00AD6520">
        <w:rPr>
          <w:i/>
        </w:rPr>
        <w:t>Love</w:t>
      </w:r>
      <w:r w:rsidR="00811B32">
        <w:rPr>
          <w:szCs w:val="24"/>
        </w:rPr>
        <w:t>. Compl. ¶ 5.</w:t>
      </w:r>
      <w:r w:rsidRPr="00BE650A">
        <w:rPr>
          <w:szCs w:val="24"/>
        </w:rPr>
        <w:t xml:space="preserve">  On March 27, 2010, Plaintiff contacted Lime to specially commission from her a screenplay for one episode of </w:t>
      </w:r>
      <w:r w:rsidRPr="00BE650A">
        <w:rPr>
          <w:i/>
          <w:szCs w:val="24"/>
        </w:rPr>
        <w:t>Lawless Love</w:t>
      </w:r>
      <w:r w:rsidR="00811B32">
        <w:rPr>
          <w:szCs w:val="24"/>
        </w:rPr>
        <w:t xml:space="preserve">. </w:t>
      </w:r>
      <w:r w:rsidRPr="00BE650A">
        <w:rPr>
          <w:szCs w:val="24"/>
        </w:rPr>
        <w:t>Compl. ¶</w:t>
      </w:r>
      <w:r w:rsidR="00811B32">
        <w:rPr>
          <w:szCs w:val="24"/>
        </w:rPr>
        <w:t xml:space="preserve"> 9.</w:t>
      </w:r>
      <w:r w:rsidRPr="00BE650A">
        <w:rPr>
          <w:szCs w:val="24"/>
        </w:rPr>
        <w:t xml:space="preserve">  Dave Nelson (“Nelson”) is the executive producer of </w:t>
      </w:r>
      <w:r w:rsidRPr="00BE650A">
        <w:rPr>
          <w:i/>
          <w:szCs w:val="24"/>
        </w:rPr>
        <w:t>Lawless Love</w:t>
      </w:r>
      <w:r w:rsidRPr="00BE650A">
        <w:rPr>
          <w:szCs w:val="24"/>
        </w:rPr>
        <w:t>, and an em</w:t>
      </w:r>
      <w:r w:rsidR="00811B32">
        <w:rPr>
          <w:szCs w:val="24"/>
        </w:rPr>
        <w:t>ployee and agent of Plaintiff. Compl. ¶ 10.</w:t>
      </w:r>
      <w:r>
        <w:rPr>
          <w:szCs w:val="24"/>
        </w:rPr>
        <w:t xml:space="preserve">  This was the first time Lime was </w:t>
      </w:r>
      <w:r w:rsidR="00811B32">
        <w:rPr>
          <w:szCs w:val="24"/>
        </w:rPr>
        <w:t>asked to wri</w:t>
      </w:r>
      <w:r w:rsidR="00BF27C6">
        <w:rPr>
          <w:szCs w:val="24"/>
        </w:rPr>
        <w:t>te for Plaintiff.  Compl. ¶ 11.</w:t>
      </w:r>
    </w:p>
    <w:p w14:paraId="04E9328F" w14:textId="77777777" w:rsidR="000E237F" w:rsidRPr="00BE650A" w:rsidRDefault="006C5872" w:rsidP="00BE650A">
      <w:pPr>
        <w:keepNext/>
        <w:keepLines/>
        <w:rPr>
          <w:szCs w:val="24"/>
        </w:rPr>
      </w:pPr>
      <w:r>
        <w:rPr>
          <w:szCs w:val="24"/>
        </w:rPr>
        <w:tab/>
      </w:r>
      <w:proofErr w:type="gramStart"/>
      <w:r>
        <w:rPr>
          <w:szCs w:val="24"/>
        </w:rPr>
        <w:t>On March 27, 2010</w:t>
      </w:r>
      <w:r w:rsidR="00811B32">
        <w:rPr>
          <w:szCs w:val="24"/>
        </w:rPr>
        <w:t>,</w:t>
      </w:r>
      <w:r w:rsidR="00AD6520">
        <w:rPr>
          <w:szCs w:val="24"/>
        </w:rPr>
        <w:t xml:space="preserve"> </w:t>
      </w:r>
      <w:r w:rsidR="00811B32">
        <w:rPr>
          <w:szCs w:val="24"/>
        </w:rPr>
        <w:t>Compl.</w:t>
      </w:r>
      <w:proofErr w:type="gramEnd"/>
      <w:r w:rsidR="00811B32">
        <w:rPr>
          <w:szCs w:val="24"/>
        </w:rPr>
        <w:t xml:space="preserve"> ¶ 12,</w:t>
      </w:r>
      <w:r w:rsidR="000E237F" w:rsidRPr="00BE650A">
        <w:rPr>
          <w:szCs w:val="24"/>
        </w:rPr>
        <w:t xml:space="preserve"> </w:t>
      </w:r>
      <w:r>
        <w:rPr>
          <w:szCs w:val="24"/>
        </w:rPr>
        <w:t>Lime</w:t>
      </w:r>
      <w:r w:rsidR="000E237F" w:rsidRPr="00BE650A">
        <w:rPr>
          <w:szCs w:val="24"/>
        </w:rPr>
        <w:t xml:space="preserve"> </w:t>
      </w:r>
      <w:r>
        <w:rPr>
          <w:szCs w:val="24"/>
        </w:rPr>
        <w:t>agreed to</w:t>
      </w:r>
      <w:r w:rsidR="000E237F" w:rsidRPr="00BE650A">
        <w:rPr>
          <w:szCs w:val="24"/>
        </w:rPr>
        <w:t xml:space="preserve"> prepare a screenplay for </w:t>
      </w:r>
      <w:r w:rsidR="000E237F" w:rsidRPr="00BE650A">
        <w:rPr>
          <w:i/>
          <w:szCs w:val="24"/>
        </w:rPr>
        <w:t xml:space="preserve">Lawless Love </w:t>
      </w:r>
      <w:r w:rsidR="00811B32">
        <w:rPr>
          <w:szCs w:val="24"/>
        </w:rPr>
        <w:t xml:space="preserve">by April 1, 2010, Compl. </w:t>
      </w:r>
      <w:proofErr w:type="gramStart"/>
      <w:r w:rsidR="00811B32">
        <w:rPr>
          <w:szCs w:val="24"/>
        </w:rPr>
        <w:t>¶ 13, for a fee of $6,000.</w:t>
      </w:r>
      <w:proofErr w:type="gramEnd"/>
      <w:r w:rsidR="00811B32">
        <w:rPr>
          <w:szCs w:val="24"/>
        </w:rPr>
        <w:t xml:space="preserve">  Compl. ¶ 15.</w:t>
      </w:r>
      <w:r w:rsidR="000E237F" w:rsidRPr="00BE650A">
        <w:rPr>
          <w:szCs w:val="24"/>
        </w:rPr>
        <w:t xml:space="preserve">  </w:t>
      </w:r>
      <w:r w:rsidR="00B96E20">
        <w:rPr>
          <w:szCs w:val="24"/>
        </w:rPr>
        <w:t>Lime and Nelson orally agreed that the</w:t>
      </w:r>
      <w:r w:rsidR="000E237F" w:rsidRPr="00BE650A">
        <w:rPr>
          <w:szCs w:val="24"/>
        </w:rPr>
        <w:t xml:space="preserve"> work</w:t>
      </w:r>
      <w:r>
        <w:rPr>
          <w:szCs w:val="24"/>
        </w:rPr>
        <w:t xml:space="preserve"> on the screenplay would be for</w:t>
      </w:r>
      <w:r w:rsidR="00811B32">
        <w:rPr>
          <w:szCs w:val="24"/>
        </w:rPr>
        <w:t xml:space="preserve"> hire.  Compl. ¶ 16-18</w:t>
      </w:r>
      <w:r w:rsidR="000E237F" w:rsidRPr="00BE650A">
        <w:rPr>
          <w:szCs w:val="24"/>
        </w:rPr>
        <w:t xml:space="preserve">.  </w:t>
      </w:r>
      <w:r w:rsidRPr="00BE650A">
        <w:rPr>
          <w:szCs w:val="24"/>
        </w:rPr>
        <w:t xml:space="preserve">No express written agreement was signed preceding the creation of the screenplay </w:t>
      </w:r>
      <w:r>
        <w:rPr>
          <w:szCs w:val="24"/>
        </w:rPr>
        <w:t xml:space="preserve">because </w:t>
      </w:r>
      <w:r w:rsidR="000E237F" w:rsidRPr="00BE650A">
        <w:rPr>
          <w:szCs w:val="24"/>
        </w:rPr>
        <w:t xml:space="preserve">Nelson </w:t>
      </w:r>
      <w:r>
        <w:rPr>
          <w:szCs w:val="24"/>
        </w:rPr>
        <w:t>stated that Lime</w:t>
      </w:r>
      <w:r w:rsidR="000E237F" w:rsidRPr="00BE650A">
        <w:rPr>
          <w:szCs w:val="24"/>
        </w:rPr>
        <w:t xml:space="preserve"> could return to sign the p</w:t>
      </w:r>
      <w:r w:rsidR="00811B32">
        <w:rPr>
          <w:szCs w:val="24"/>
        </w:rPr>
        <w:t>aperwork later.  Compl. ¶ 20.</w:t>
      </w:r>
      <w:r w:rsidR="000E237F" w:rsidRPr="00BE650A">
        <w:rPr>
          <w:szCs w:val="24"/>
        </w:rPr>
        <w:t xml:space="preserve"> </w:t>
      </w:r>
    </w:p>
    <w:p w14:paraId="014540CA" w14:textId="77777777" w:rsidR="000E237F" w:rsidRPr="00BE650A" w:rsidRDefault="000E237F" w:rsidP="00BE650A">
      <w:pPr>
        <w:ind w:firstLine="720"/>
        <w:rPr>
          <w:szCs w:val="24"/>
        </w:rPr>
      </w:pPr>
      <w:r w:rsidRPr="00BE650A">
        <w:rPr>
          <w:szCs w:val="24"/>
        </w:rPr>
        <w:t>On April 1, 2010, Lime submitted “Anticipat</w:t>
      </w:r>
      <w:r w:rsidR="00811B32">
        <w:rPr>
          <w:szCs w:val="24"/>
        </w:rPr>
        <w:t>ory Repudiation” to Plaintiff.  Compl. ¶ 21.</w:t>
      </w:r>
      <w:r w:rsidRPr="00BE650A">
        <w:rPr>
          <w:szCs w:val="24"/>
        </w:rPr>
        <w:t xml:space="preserve">   </w:t>
      </w:r>
      <w:r>
        <w:rPr>
          <w:szCs w:val="24"/>
        </w:rPr>
        <w:t>On April 2, 2010, Plaintiff registered the copyright and received a certificate</w:t>
      </w:r>
      <w:r w:rsidR="00811B32">
        <w:rPr>
          <w:szCs w:val="24"/>
        </w:rPr>
        <w:t xml:space="preserve"> of registration.  Compl. ¶ 22</w:t>
      </w:r>
      <w:r>
        <w:rPr>
          <w:szCs w:val="24"/>
        </w:rPr>
        <w:t xml:space="preserve">.  </w:t>
      </w:r>
      <w:r w:rsidRPr="00BE650A">
        <w:rPr>
          <w:szCs w:val="24"/>
        </w:rPr>
        <w:t>On April 6, 2010, Lime and Nelson signed a “</w:t>
      </w:r>
      <w:r w:rsidR="00811B32">
        <w:rPr>
          <w:szCs w:val="24"/>
        </w:rPr>
        <w:t>Work-Made-For-Hire Agreement.” Compl. ¶ 24-25.</w:t>
      </w:r>
    </w:p>
    <w:p w14:paraId="58D338A2" w14:textId="77777777" w:rsidR="000E237F" w:rsidRPr="00BE650A" w:rsidRDefault="000E237F" w:rsidP="00BE650A">
      <w:pPr>
        <w:ind w:firstLine="720"/>
        <w:rPr>
          <w:szCs w:val="24"/>
        </w:rPr>
      </w:pPr>
      <w:r w:rsidRPr="00BE650A">
        <w:rPr>
          <w:szCs w:val="24"/>
        </w:rPr>
        <w:t xml:space="preserve">“Anticipatory Repudiation” was not performed as an episode of </w:t>
      </w:r>
      <w:r w:rsidRPr="00BE650A">
        <w:rPr>
          <w:i/>
          <w:szCs w:val="24"/>
        </w:rPr>
        <w:t>Lawless Love</w:t>
      </w:r>
      <w:r w:rsidRPr="00BE650A">
        <w:rPr>
          <w:szCs w:val="24"/>
        </w:rPr>
        <w:t xml:space="preserve"> because the executives were not happy with the quality of the screenplay, and the story did </w:t>
      </w:r>
      <w:r w:rsidR="00811B32">
        <w:rPr>
          <w:szCs w:val="24"/>
        </w:rPr>
        <w:t>not fit the theme of the show. Compl. ¶ 26.</w:t>
      </w:r>
      <w:r w:rsidRPr="00BE650A">
        <w:rPr>
          <w:szCs w:val="24"/>
        </w:rPr>
        <w:t xml:space="preserve">  </w:t>
      </w:r>
      <w:r w:rsidR="00A71807">
        <w:rPr>
          <w:szCs w:val="24"/>
        </w:rPr>
        <w:t>Defendants substantially</w:t>
      </w:r>
      <w:r w:rsidRPr="00BE650A">
        <w:rPr>
          <w:szCs w:val="24"/>
        </w:rPr>
        <w:t xml:space="preserve"> copied “The Love</w:t>
      </w:r>
      <w:r w:rsidR="00A71807">
        <w:rPr>
          <w:szCs w:val="24"/>
        </w:rPr>
        <w:t xml:space="preserve"> Below” </w:t>
      </w:r>
      <w:r w:rsidRPr="00BE650A">
        <w:rPr>
          <w:szCs w:val="24"/>
        </w:rPr>
        <w:t>from “Anticipatory Repudiation”</w:t>
      </w:r>
      <w:r w:rsidR="00A71807">
        <w:rPr>
          <w:szCs w:val="24"/>
        </w:rPr>
        <w:t xml:space="preserve"> in August 2010.</w:t>
      </w:r>
      <w:r w:rsidR="00811B32">
        <w:rPr>
          <w:szCs w:val="24"/>
        </w:rPr>
        <w:t xml:space="preserve">  Compl. ¶ 28.</w:t>
      </w:r>
      <w:r w:rsidRPr="00BE650A">
        <w:rPr>
          <w:szCs w:val="24"/>
        </w:rPr>
        <w:t xml:space="preserve">  The Defendants produced and </w:t>
      </w:r>
      <w:r w:rsidRPr="00BE650A">
        <w:rPr>
          <w:szCs w:val="24"/>
        </w:rPr>
        <w:lastRenderedPageBreak/>
        <w:t>performed the screenplay “The Love Below” on television, and have broadcast and displayed such performance over television throughout the United States</w:t>
      </w:r>
      <w:r w:rsidR="00811B32">
        <w:rPr>
          <w:szCs w:val="24"/>
        </w:rPr>
        <w:t>.  Compl. ¶ 29.</w:t>
      </w:r>
      <w:r w:rsidRPr="00BE650A">
        <w:rPr>
          <w:szCs w:val="24"/>
        </w:rPr>
        <w:t xml:space="preserve">  </w:t>
      </w:r>
    </w:p>
    <w:p w14:paraId="3A3081FC" w14:textId="77777777" w:rsidR="000E237F" w:rsidRPr="00BE650A" w:rsidRDefault="000E237F" w:rsidP="00BE650A">
      <w:pPr>
        <w:ind w:firstLine="720"/>
        <w:rPr>
          <w:szCs w:val="24"/>
        </w:rPr>
      </w:pPr>
      <w:r w:rsidRPr="00BE650A">
        <w:rPr>
          <w:szCs w:val="24"/>
        </w:rPr>
        <w:t xml:space="preserve">OGS filed a complaint against both Lime and TinyTV alleging a violation of The Copyright Act. OGS alleges losses in excess of $86,000 resulting from lost advertising revenue, lost value of Lime’s fee for the screenplay, and to account to Plaintiff for all gains, profits and advantages derived from the alleged copyright infringement. </w:t>
      </w:r>
      <w:r w:rsidR="00811B32">
        <w:rPr>
          <w:szCs w:val="24"/>
        </w:rPr>
        <w:t xml:space="preserve"> Compl. ¶ 35.</w:t>
      </w:r>
    </w:p>
    <w:p w14:paraId="71F76B66" w14:textId="77777777" w:rsidR="000E237F" w:rsidRPr="00BE650A" w:rsidRDefault="000E237F" w:rsidP="00BE650A">
      <w:pPr>
        <w:jc w:val="center"/>
        <w:rPr>
          <w:b/>
          <w:szCs w:val="24"/>
          <w:u w:val="single"/>
        </w:rPr>
      </w:pPr>
      <w:r w:rsidRPr="00BE650A">
        <w:rPr>
          <w:b/>
          <w:szCs w:val="24"/>
          <w:u w:val="single"/>
        </w:rPr>
        <w:t>ARGUMENT</w:t>
      </w:r>
    </w:p>
    <w:p w14:paraId="3BE01381" w14:textId="77777777" w:rsidR="000E237F" w:rsidRPr="00BE650A" w:rsidRDefault="000E237F" w:rsidP="00BE650A">
      <w:pPr>
        <w:rPr>
          <w:b/>
          <w:szCs w:val="24"/>
        </w:rPr>
      </w:pPr>
      <w:r w:rsidRPr="00BE650A">
        <w:rPr>
          <w:b/>
          <w:szCs w:val="24"/>
        </w:rPr>
        <w:t>I.</w:t>
      </w:r>
      <w:r w:rsidRPr="00BE650A">
        <w:rPr>
          <w:b/>
          <w:szCs w:val="24"/>
        </w:rPr>
        <w:tab/>
        <w:t>STANDARD OF REVIEW</w:t>
      </w:r>
    </w:p>
    <w:p w14:paraId="1E5901A0" w14:textId="77777777" w:rsidR="000E237F" w:rsidRPr="00811B32" w:rsidRDefault="000E237F" w:rsidP="00811B32">
      <w:pPr>
        <w:rPr>
          <w:rFonts w:eastAsia="Times New Roman"/>
          <w:szCs w:val="24"/>
        </w:rPr>
      </w:pPr>
      <w:r w:rsidRPr="00BE650A">
        <w:rPr>
          <w:b/>
          <w:szCs w:val="24"/>
        </w:rPr>
        <w:tab/>
      </w:r>
      <w:r w:rsidRPr="00BE650A">
        <w:rPr>
          <w:szCs w:val="24"/>
        </w:rPr>
        <w:t xml:space="preserve">The Court should dismiss OGS’s copyright infringement claim with prejudice for failure to state a claim upon which relief can be granted.  To survive a motion to dismiss under Fed R. Civ. P. 12(b) (6), a complaint must allege enough factual material to “state a claim to relief that is plausible on its face” if the facts are accepted as true. </w:t>
      </w:r>
      <w:r w:rsidRPr="00BE650A">
        <w:rPr>
          <w:i/>
          <w:szCs w:val="24"/>
        </w:rPr>
        <w:t xml:space="preserve">Bell Atl. Corp. v. </w:t>
      </w:r>
      <w:proofErr w:type="spellStart"/>
      <w:r w:rsidRPr="00BE650A">
        <w:rPr>
          <w:i/>
          <w:szCs w:val="24"/>
        </w:rPr>
        <w:t>Twombly</w:t>
      </w:r>
      <w:proofErr w:type="spellEnd"/>
      <w:r w:rsidR="006858D6">
        <w:rPr>
          <w:szCs w:val="24"/>
        </w:rPr>
        <w:t xml:space="preserve">, 550 U.S. 544, 547 </w:t>
      </w:r>
      <w:r w:rsidRPr="00BE650A">
        <w:rPr>
          <w:szCs w:val="24"/>
        </w:rPr>
        <w:t xml:space="preserve">(2007).  The </w:t>
      </w:r>
      <w:r>
        <w:rPr>
          <w:szCs w:val="24"/>
        </w:rPr>
        <w:t>Plaintiff’s Complaint</w:t>
      </w:r>
      <w:r w:rsidRPr="00BE650A">
        <w:rPr>
          <w:szCs w:val="24"/>
        </w:rPr>
        <w:t xml:space="preserve"> should be dismissed </w:t>
      </w:r>
      <w:r>
        <w:rPr>
          <w:szCs w:val="24"/>
        </w:rPr>
        <w:t>because</w:t>
      </w:r>
      <w:r w:rsidRPr="00BE650A">
        <w:rPr>
          <w:szCs w:val="24"/>
        </w:rPr>
        <w:t xml:space="preserve"> OGS cannot assert a claim against the Defendants for copyright infringement under the Copyright Act.  </w:t>
      </w:r>
    </w:p>
    <w:p w14:paraId="57A00EB8" w14:textId="77777777" w:rsidR="000E237F" w:rsidRPr="00BE650A" w:rsidRDefault="000E237F" w:rsidP="00811B32">
      <w:pPr>
        <w:rPr>
          <w:szCs w:val="24"/>
        </w:rPr>
      </w:pPr>
      <w:r w:rsidRPr="00BE650A">
        <w:rPr>
          <w:szCs w:val="24"/>
        </w:rPr>
        <w:tab/>
      </w:r>
      <w:r>
        <w:rPr>
          <w:szCs w:val="24"/>
        </w:rPr>
        <w:t>W</w:t>
      </w:r>
      <w:r w:rsidRPr="00BE650A">
        <w:rPr>
          <w:szCs w:val="24"/>
        </w:rPr>
        <w:t>hen considering the motion to dismiss the Court must take all factual allegations as true,</w:t>
      </w:r>
      <w:r>
        <w:rPr>
          <w:szCs w:val="24"/>
        </w:rPr>
        <w:t xml:space="preserve"> but</w:t>
      </w:r>
      <w:r w:rsidRPr="00BE650A">
        <w:rPr>
          <w:szCs w:val="24"/>
        </w:rPr>
        <w:t xml:space="preserve"> a “legal conclusion couched as a factual allegation” need not be accepted as true.  </w:t>
      </w:r>
      <w:proofErr w:type="spellStart"/>
      <w:r w:rsidRPr="00BE650A">
        <w:rPr>
          <w:i/>
          <w:szCs w:val="24"/>
        </w:rPr>
        <w:t>Papasan</w:t>
      </w:r>
      <w:proofErr w:type="spellEnd"/>
      <w:r w:rsidRPr="00BE650A">
        <w:rPr>
          <w:i/>
          <w:szCs w:val="24"/>
        </w:rPr>
        <w:t xml:space="preserve"> v. </w:t>
      </w:r>
      <w:proofErr w:type="spellStart"/>
      <w:r w:rsidRPr="00BE650A">
        <w:rPr>
          <w:i/>
          <w:szCs w:val="24"/>
        </w:rPr>
        <w:t>Allain</w:t>
      </w:r>
      <w:proofErr w:type="spellEnd"/>
      <w:r w:rsidRPr="00BE650A">
        <w:rPr>
          <w:szCs w:val="24"/>
        </w:rPr>
        <w:t>, 478 U.S. 265, 286 (1986).  If after making the above assumptions, the Complaint has not sufficiently shown that “the pleader is entitled to relief” the Court should dismiss the claim. Fed. R. Civ. P. 8(a)(2).  OGS is not entitled to relief under the Copyright Act of 1976 as it has not sufficiently alleged any facts which makes the claim that “Plaintiff is the author of the screenplay, and has been and still is the owner of all rights, title and interest in the above copyright” plaus</w:t>
      </w:r>
      <w:r w:rsidR="006858D6">
        <w:rPr>
          <w:szCs w:val="24"/>
        </w:rPr>
        <w:t>ible on its face.  Compl. ¶ 23.</w:t>
      </w:r>
      <w:r w:rsidRPr="00BE650A">
        <w:rPr>
          <w:szCs w:val="24"/>
        </w:rPr>
        <w:t xml:space="preserve">  Plaintiff’s conclusory claim is the </w:t>
      </w:r>
      <w:r w:rsidRPr="00BE650A">
        <w:rPr>
          <w:szCs w:val="24"/>
        </w:rPr>
        <w:lastRenderedPageBreak/>
        <w:t>foundation of its Complaint</w:t>
      </w:r>
      <w:r>
        <w:rPr>
          <w:szCs w:val="24"/>
        </w:rPr>
        <w:t>, and is</w:t>
      </w:r>
      <w:r w:rsidRPr="00BE650A">
        <w:rPr>
          <w:szCs w:val="24"/>
        </w:rPr>
        <w:t xml:space="preserve"> insufficient </w:t>
      </w:r>
      <w:r>
        <w:rPr>
          <w:szCs w:val="24"/>
        </w:rPr>
        <w:t xml:space="preserve">to state a claim </w:t>
      </w:r>
      <w:r w:rsidRPr="00BE650A">
        <w:rPr>
          <w:szCs w:val="24"/>
        </w:rPr>
        <w:t xml:space="preserve">under </w:t>
      </w:r>
      <w:r>
        <w:rPr>
          <w:szCs w:val="24"/>
        </w:rPr>
        <w:t>t</w:t>
      </w:r>
      <w:r w:rsidRPr="00BE650A">
        <w:rPr>
          <w:szCs w:val="24"/>
        </w:rPr>
        <w:t>he Copyright Act</w:t>
      </w:r>
      <w:r>
        <w:rPr>
          <w:szCs w:val="24"/>
        </w:rPr>
        <w:t xml:space="preserve">. </w:t>
      </w:r>
      <w:r w:rsidR="00BF27C6">
        <w:rPr>
          <w:szCs w:val="24"/>
        </w:rPr>
        <w:t>As a result t</w:t>
      </w:r>
      <w:r>
        <w:rPr>
          <w:szCs w:val="24"/>
        </w:rPr>
        <w:t>his Court</w:t>
      </w:r>
      <w:r w:rsidR="00FC2B20">
        <w:rPr>
          <w:szCs w:val="24"/>
        </w:rPr>
        <w:t xml:space="preserve"> </w:t>
      </w:r>
      <w:r>
        <w:rPr>
          <w:szCs w:val="24"/>
        </w:rPr>
        <w:t>should dismiss Plaintiff’s Complaint</w:t>
      </w:r>
      <w:r w:rsidRPr="00BE650A">
        <w:rPr>
          <w:szCs w:val="24"/>
        </w:rPr>
        <w:t xml:space="preserve"> w</w:t>
      </w:r>
      <w:r w:rsidR="00FC2B20">
        <w:rPr>
          <w:szCs w:val="24"/>
        </w:rPr>
        <w:t>ith prejudice.  17 U.S.C. § 101.</w:t>
      </w:r>
    </w:p>
    <w:p w14:paraId="3261A081" w14:textId="77777777" w:rsidR="000E237F" w:rsidRPr="00BE650A" w:rsidRDefault="000E237F" w:rsidP="00BE650A">
      <w:pPr>
        <w:spacing w:line="240" w:lineRule="auto"/>
        <w:ind w:left="720" w:hanging="720"/>
        <w:rPr>
          <w:b/>
          <w:szCs w:val="24"/>
        </w:rPr>
      </w:pPr>
      <w:r w:rsidRPr="00BE650A">
        <w:rPr>
          <w:b/>
          <w:szCs w:val="24"/>
        </w:rPr>
        <w:t>II.</w:t>
      </w:r>
      <w:r w:rsidRPr="00BE650A">
        <w:rPr>
          <w:b/>
          <w:szCs w:val="24"/>
        </w:rPr>
        <w:tab/>
        <w:t>THE WORK FOR HIRE AGREEMENT DID NOT PRECEDE THE CREATION OF THE WORK AND THUS THE SCREENPLAY CAN NOT BE CONSIDERED A WORK FOR HIRE.</w:t>
      </w:r>
    </w:p>
    <w:p w14:paraId="665751C6" w14:textId="77777777" w:rsidR="000E237F" w:rsidRPr="00BE650A" w:rsidRDefault="000E237F" w:rsidP="00BE650A">
      <w:pPr>
        <w:spacing w:line="240" w:lineRule="auto"/>
        <w:ind w:left="720" w:hanging="720"/>
        <w:rPr>
          <w:b/>
          <w:szCs w:val="24"/>
        </w:rPr>
      </w:pPr>
    </w:p>
    <w:p w14:paraId="3EE8FBC3" w14:textId="77777777" w:rsidR="000E237F" w:rsidRPr="00BE650A" w:rsidRDefault="00FC2B20" w:rsidP="00FC2B20">
      <w:pPr>
        <w:ind w:firstLine="720"/>
        <w:rPr>
          <w:szCs w:val="24"/>
        </w:rPr>
      </w:pPr>
      <w:r>
        <w:rPr>
          <w:szCs w:val="24"/>
        </w:rPr>
        <w:t>A</w:t>
      </w:r>
      <w:r w:rsidR="000E237F" w:rsidRPr="00BE650A">
        <w:rPr>
          <w:szCs w:val="24"/>
        </w:rPr>
        <w:t xml:space="preserve"> work can be considered a work for hire if it “is specially ordered or commissioned for use…as a part of a motion picture or other audiovisual work.”  </w:t>
      </w:r>
      <w:r w:rsidR="006858D6">
        <w:rPr>
          <w:i/>
          <w:szCs w:val="24"/>
        </w:rPr>
        <w:t xml:space="preserve">Id. </w:t>
      </w:r>
      <w:r w:rsidR="000E237F" w:rsidRPr="00BE650A">
        <w:rPr>
          <w:szCs w:val="24"/>
        </w:rPr>
        <w:t xml:space="preserve">Plaintiff did specially commission the screenplay, which can be considered a part of a motion picture or other audiovisual work, from Lime.  </w:t>
      </w:r>
      <w:r>
        <w:rPr>
          <w:i/>
          <w:szCs w:val="24"/>
        </w:rPr>
        <w:t>Id.</w:t>
      </w:r>
      <w:r>
        <w:rPr>
          <w:szCs w:val="24"/>
        </w:rPr>
        <w:t xml:space="preserve"> </w:t>
      </w:r>
      <w:r w:rsidR="000E237F" w:rsidRPr="00BE650A">
        <w:rPr>
          <w:szCs w:val="24"/>
        </w:rPr>
        <w:t xml:space="preserve">The Act goes on to only consider the work </w:t>
      </w:r>
      <w:r w:rsidR="000E237F">
        <w:rPr>
          <w:szCs w:val="24"/>
        </w:rPr>
        <w:t xml:space="preserve">of an independent contractor as </w:t>
      </w:r>
      <w:r w:rsidR="000E237F" w:rsidRPr="00BE650A">
        <w:rPr>
          <w:szCs w:val="24"/>
        </w:rPr>
        <w:t xml:space="preserve">made for hire “if the parties expressly agree in a written instrument signed by them that the work shall be considered a work made for hire.” </w:t>
      </w:r>
      <w:r>
        <w:rPr>
          <w:i/>
          <w:szCs w:val="24"/>
        </w:rPr>
        <w:t>Id.</w:t>
      </w:r>
      <w:r w:rsidR="000E237F" w:rsidRPr="00BE650A">
        <w:rPr>
          <w:szCs w:val="24"/>
        </w:rPr>
        <w:t xml:space="preserve">  </w:t>
      </w:r>
    </w:p>
    <w:p w14:paraId="0B0F31B9" w14:textId="77777777" w:rsidR="000E237F" w:rsidRPr="00BE650A" w:rsidRDefault="000E237F" w:rsidP="00BE650A">
      <w:pPr>
        <w:spacing w:line="240" w:lineRule="auto"/>
        <w:ind w:firstLine="720"/>
        <w:rPr>
          <w:b/>
          <w:szCs w:val="24"/>
        </w:rPr>
      </w:pPr>
      <w:r w:rsidRPr="00BE650A">
        <w:rPr>
          <w:b/>
          <w:szCs w:val="24"/>
        </w:rPr>
        <w:t>A.  A Plain Reading of the Phrase “Expressly Agree in a Written Statement Signed by Them That the Work Shall be Considered” Exhibits That The Screenplay Can Not Be Considered a Work For Hire.</w:t>
      </w:r>
    </w:p>
    <w:p w14:paraId="60F33D6D" w14:textId="77777777" w:rsidR="000E237F" w:rsidRPr="00BE650A" w:rsidRDefault="000E237F" w:rsidP="00BE650A">
      <w:pPr>
        <w:spacing w:line="240" w:lineRule="auto"/>
        <w:ind w:firstLine="720"/>
        <w:rPr>
          <w:b/>
          <w:szCs w:val="24"/>
        </w:rPr>
      </w:pPr>
    </w:p>
    <w:p w14:paraId="6E8879C7" w14:textId="77777777" w:rsidR="000E237F" w:rsidRPr="00BE650A" w:rsidRDefault="000E237F" w:rsidP="00BE650A">
      <w:pPr>
        <w:ind w:firstLine="720"/>
        <w:rPr>
          <w:szCs w:val="24"/>
        </w:rPr>
      </w:pPr>
      <w:r w:rsidRPr="00BE650A">
        <w:rPr>
          <w:szCs w:val="24"/>
        </w:rPr>
        <w:t>When interpreting a statute, a court must first</w:t>
      </w:r>
      <w:r w:rsidR="008B764D">
        <w:rPr>
          <w:szCs w:val="24"/>
        </w:rPr>
        <w:t xml:space="preserve"> look</w:t>
      </w:r>
      <w:r w:rsidRPr="00BE650A">
        <w:rPr>
          <w:szCs w:val="24"/>
        </w:rPr>
        <w:t xml:space="preserve"> to the plain text and enforce it as written</w:t>
      </w:r>
      <w:r w:rsidR="008B764D">
        <w:rPr>
          <w:szCs w:val="24"/>
        </w:rPr>
        <w:t>,</w:t>
      </w:r>
      <w:r w:rsidRPr="00BE650A">
        <w:rPr>
          <w:szCs w:val="24"/>
        </w:rPr>
        <w:t xml:space="preserve"> unless such enforcement would yield an absurd result.  </w:t>
      </w:r>
      <w:r w:rsidRPr="00BE650A">
        <w:rPr>
          <w:i/>
          <w:szCs w:val="24"/>
        </w:rPr>
        <w:t xml:space="preserve">See </w:t>
      </w:r>
      <w:proofErr w:type="spellStart"/>
      <w:r w:rsidRPr="00BE650A">
        <w:rPr>
          <w:i/>
          <w:szCs w:val="24"/>
        </w:rPr>
        <w:t>Lamie</w:t>
      </w:r>
      <w:proofErr w:type="spellEnd"/>
      <w:r w:rsidRPr="00BE650A">
        <w:rPr>
          <w:i/>
          <w:szCs w:val="24"/>
        </w:rPr>
        <w:t xml:space="preserve"> v. </w:t>
      </w:r>
      <w:r w:rsidR="00294D3C">
        <w:rPr>
          <w:i/>
          <w:szCs w:val="24"/>
        </w:rPr>
        <w:t>U.S.</w:t>
      </w:r>
      <w:r w:rsidRPr="00BE650A">
        <w:rPr>
          <w:i/>
          <w:szCs w:val="24"/>
        </w:rPr>
        <w:t xml:space="preserve"> Tr.</w:t>
      </w:r>
      <w:r w:rsidRPr="00BE650A">
        <w:rPr>
          <w:szCs w:val="24"/>
        </w:rPr>
        <w:t xml:space="preserve">, 540 U.S. 526, 534 (2004).  Based on a plain reading of the </w:t>
      </w:r>
      <w:r>
        <w:rPr>
          <w:szCs w:val="24"/>
        </w:rPr>
        <w:t>Act</w:t>
      </w:r>
      <w:r w:rsidRPr="00BE650A">
        <w:rPr>
          <w:szCs w:val="24"/>
        </w:rPr>
        <w:t xml:space="preserve">, the screenplay would not be considered a work made for hire unless there was a </w:t>
      </w:r>
      <w:r w:rsidRPr="00BE650A">
        <w:rPr>
          <w:i/>
          <w:szCs w:val="24"/>
        </w:rPr>
        <w:t>written</w:t>
      </w:r>
      <w:r w:rsidRPr="00BE650A">
        <w:rPr>
          <w:szCs w:val="24"/>
        </w:rPr>
        <w:t xml:space="preserve"> statement signed by </w:t>
      </w:r>
      <w:r w:rsidRPr="00BE650A">
        <w:rPr>
          <w:i/>
          <w:szCs w:val="24"/>
        </w:rPr>
        <w:t>both parties</w:t>
      </w:r>
      <w:r w:rsidRPr="00BE650A">
        <w:rPr>
          <w:szCs w:val="24"/>
        </w:rPr>
        <w:t xml:space="preserve"> preceding the creation of the work. One may argue that the written agreement is not required prior to work creation, but this would yield an absurd result.  </w:t>
      </w:r>
      <w:r w:rsidR="00B85DCE">
        <w:rPr>
          <w:szCs w:val="24"/>
        </w:rPr>
        <w:t xml:space="preserve">Allowing a written agreement to be established after work creation would result in a period in which </w:t>
      </w:r>
      <w:r w:rsidR="00007A07">
        <w:rPr>
          <w:szCs w:val="24"/>
        </w:rPr>
        <w:t>authorship and ownership is unclear</w:t>
      </w:r>
      <w:r w:rsidR="004A6307">
        <w:rPr>
          <w:szCs w:val="24"/>
        </w:rPr>
        <w:t>.</w:t>
      </w:r>
    </w:p>
    <w:p w14:paraId="04B4B8D0" w14:textId="77777777" w:rsidR="000E237F" w:rsidRPr="00BE650A" w:rsidRDefault="000E237F" w:rsidP="00BE650A">
      <w:pPr>
        <w:ind w:firstLine="720"/>
        <w:rPr>
          <w:szCs w:val="24"/>
        </w:rPr>
      </w:pPr>
      <w:r w:rsidRPr="00BE650A">
        <w:rPr>
          <w:szCs w:val="24"/>
        </w:rPr>
        <w:t>An original work demands copyright protection as soon as it is “fixed in any tangible medium of expression…from which they can be perceived, reproduced, or otherwise comm</w:t>
      </w:r>
      <w:r w:rsidR="008B764D">
        <w:rPr>
          <w:szCs w:val="24"/>
        </w:rPr>
        <w:t>unicated.”  17 U.S.C. § 102.</w:t>
      </w:r>
      <w:r w:rsidRPr="00BE650A">
        <w:rPr>
          <w:szCs w:val="24"/>
        </w:rPr>
        <w:t xml:space="preserve">  Although a screenplay is produced over a period of time, portions of it are able to be perceived and reproduced the instant the author begins to create it.  </w:t>
      </w:r>
      <w:r w:rsidRPr="00BE650A">
        <w:rPr>
          <w:szCs w:val="24"/>
        </w:rPr>
        <w:lastRenderedPageBreak/>
        <w:t xml:space="preserve">Consequently, to protect the author and the work, a screenplay requires copyright protection at inception.  </w:t>
      </w:r>
    </w:p>
    <w:p w14:paraId="2422BE3C" w14:textId="77777777" w:rsidR="008C396A" w:rsidRDefault="000E237F" w:rsidP="00BE650A">
      <w:pPr>
        <w:ind w:firstLine="720"/>
        <w:rPr>
          <w:szCs w:val="24"/>
        </w:rPr>
      </w:pPr>
      <w:r w:rsidRPr="00BE650A">
        <w:rPr>
          <w:szCs w:val="24"/>
        </w:rPr>
        <w:t xml:space="preserve">In a traditional copyright </w:t>
      </w:r>
      <w:r>
        <w:rPr>
          <w:szCs w:val="24"/>
        </w:rPr>
        <w:t>situation</w:t>
      </w:r>
      <w:r w:rsidRPr="00BE650A">
        <w:rPr>
          <w:szCs w:val="24"/>
        </w:rPr>
        <w:t xml:space="preserve">, the author of the work </w:t>
      </w:r>
      <w:r w:rsidR="00303867">
        <w:rPr>
          <w:szCs w:val="24"/>
        </w:rPr>
        <w:t>owns the copyright</w:t>
      </w:r>
      <w:r w:rsidR="00FA5C79">
        <w:rPr>
          <w:szCs w:val="24"/>
        </w:rPr>
        <w:t xml:space="preserve">.  </w:t>
      </w:r>
      <w:r w:rsidR="00FA5C79" w:rsidRPr="00BE650A">
        <w:rPr>
          <w:i/>
          <w:szCs w:val="24"/>
        </w:rPr>
        <w:t xml:space="preserve">See </w:t>
      </w:r>
      <w:r w:rsidR="00FA5C79">
        <w:rPr>
          <w:szCs w:val="24"/>
        </w:rPr>
        <w:t>17 U.S.C. § 201.  I</w:t>
      </w:r>
      <w:r w:rsidRPr="00BE650A">
        <w:rPr>
          <w:szCs w:val="24"/>
        </w:rPr>
        <w:t xml:space="preserve">n </w:t>
      </w:r>
      <w:r w:rsidR="008C396A">
        <w:rPr>
          <w:szCs w:val="24"/>
        </w:rPr>
        <w:t>a work made for hire situation</w:t>
      </w:r>
      <w:r w:rsidR="00FA5C79">
        <w:rPr>
          <w:szCs w:val="24"/>
        </w:rPr>
        <w:t>,</w:t>
      </w:r>
      <w:r w:rsidRPr="00BE650A">
        <w:rPr>
          <w:szCs w:val="24"/>
        </w:rPr>
        <w:t xml:space="preserve"> the </w:t>
      </w:r>
      <w:r w:rsidR="00303867">
        <w:rPr>
          <w:szCs w:val="24"/>
        </w:rPr>
        <w:t xml:space="preserve">commissioner of </w:t>
      </w:r>
      <w:r w:rsidRPr="00BE650A">
        <w:rPr>
          <w:szCs w:val="24"/>
        </w:rPr>
        <w:t>the work</w:t>
      </w:r>
      <w:r w:rsidR="008C396A">
        <w:rPr>
          <w:szCs w:val="24"/>
        </w:rPr>
        <w:t xml:space="preserve"> is considered both the legal author and owner of the work</w:t>
      </w:r>
      <w:r w:rsidRPr="00BE650A">
        <w:rPr>
          <w:szCs w:val="24"/>
        </w:rPr>
        <w:t xml:space="preserve">. </w:t>
      </w:r>
      <w:r w:rsidR="00303867">
        <w:rPr>
          <w:szCs w:val="24"/>
        </w:rPr>
        <w:t xml:space="preserve"> </w:t>
      </w:r>
      <w:r w:rsidR="007230A6">
        <w:rPr>
          <w:i/>
          <w:szCs w:val="24"/>
        </w:rPr>
        <w:t xml:space="preserve">See </w:t>
      </w:r>
      <w:r w:rsidR="007230A6">
        <w:rPr>
          <w:szCs w:val="24"/>
        </w:rPr>
        <w:t>17 U.S.C. § 201</w:t>
      </w:r>
      <w:r w:rsidR="00FA5C79">
        <w:rPr>
          <w:i/>
          <w:szCs w:val="24"/>
        </w:rPr>
        <w:t>.</w:t>
      </w:r>
      <w:r w:rsidR="00FA5C79">
        <w:rPr>
          <w:szCs w:val="24"/>
        </w:rPr>
        <w:t xml:space="preserve"> </w:t>
      </w:r>
      <w:r w:rsidRPr="00BE650A">
        <w:rPr>
          <w:szCs w:val="24"/>
        </w:rPr>
        <w:t xml:space="preserve">A signed </w:t>
      </w:r>
      <w:r w:rsidR="00FA5C79">
        <w:rPr>
          <w:szCs w:val="24"/>
        </w:rPr>
        <w:t>written agreement is required</w:t>
      </w:r>
      <w:r w:rsidRPr="00BE650A">
        <w:rPr>
          <w:szCs w:val="24"/>
        </w:rPr>
        <w:t xml:space="preserve"> for a work </w:t>
      </w:r>
      <w:r w:rsidR="00FA5C79">
        <w:rPr>
          <w:szCs w:val="24"/>
        </w:rPr>
        <w:t>to be considered made for hire.  If</w:t>
      </w:r>
      <w:r w:rsidRPr="00BE650A">
        <w:rPr>
          <w:szCs w:val="24"/>
        </w:rPr>
        <w:t xml:space="preserve"> the signed writing is not required before the creation of the work, a period would exist between the work’s inception and the written agreement in which the</w:t>
      </w:r>
      <w:r>
        <w:rPr>
          <w:szCs w:val="24"/>
        </w:rPr>
        <w:t xml:space="preserve"> identity of the</w:t>
      </w:r>
      <w:r w:rsidRPr="00BE650A">
        <w:rPr>
          <w:szCs w:val="24"/>
        </w:rPr>
        <w:t xml:space="preserve"> author and owner is unclear.  </w:t>
      </w:r>
    </w:p>
    <w:p w14:paraId="63E8BFE3" w14:textId="77777777" w:rsidR="00B54796" w:rsidRDefault="008C396A" w:rsidP="00BE650A">
      <w:pPr>
        <w:ind w:firstLine="720"/>
        <w:rPr>
          <w:szCs w:val="24"/>
        </w:rPr>
      </w:pPr>
      <w:r>
        <w:rPr>
          <w:szCs w:val="24"/>
        </w:rPr>
        <w:t>In the instant case, the parties reached</w:t>
      </w:r>
      <w:r w:rsidR="000E237F" w:rsidRPr="00BE650A">
        <w:rPr>
          <w:szCs w:val="24"/>
        </w:rPr>
        <w:t xml:space="preserve"> an oral agreement prior to Lime cr</w:t>
      </w:r>
      <w:r w:rsidR="006858D6">
        <w:rPr>
          <w:szCs w:val="24"/>
        </w:rPr>
        <w:t>eating the work, Compl. ¶ 16-18</w:t>
      </w:r>
      <w:r w:rsidR="000E237F" w:rsidRPr="00BE650A">
        <w:rPr>
          <w:szCs w:val="24"/>
        </w:rPr>
        <w:t xml:space="preserve">, but no express written agreement was </w:t>
      </w:r>
      <w:r w:rsidR="006858D6">
        <w:rPr>
          <w:szCs w:val="24"/>
        </w:rPr>
        <w:t xml:space="preserve">signed preceding the creation. </w:t>
      </w:r>
      <w:r w:rsidR="00E06107">
        <w:rPr>
          <w:szCs w:val="24"/>
        </w:rPr>
        <w:t>Compl. ¶ 20</w:t>
      </w:r>
      <w:r w:rsidR="006858D6">
        <w:rPr>
          <w:szCs w:val="24"/>
        </w:rPr>
        <w:t>.</w:t>
      </w:r>
      <w:r w:rsidR="000E237F" w:rsidRPr="00BE650A">
        <w:rPr>
          <w:szCs w:val="24"/>
        </w:rPr>
        <w:t xml:space="preserve">  The parties did not sign a “Work-Made-For-Hire Agreement” until April 6, 2010, after the wo</w:t>
      </w:r>
      <w:r w:rsidR="006858D6">
        <w:rPr>
          <w:szCs w:val="24"/>
        </w:rPr>
        <w:t>rk was completed. Compl. ¶ 24.</w:t>
      </w:r>
      <w:r w:rsidR="000E237F" w:rsidRPr="00BE650A">
        <w:rPr>
          <w:szCs w:val="24"/>
        </w:rPr>
        <w:t xml:space="preserve">  </w:t>
      </w:r>
      <w:r w:rsidR="007230A6">
        <w:rPr>
          <w:szCs w:val="24"/>
        </w:rPr>
        <w:t>If this work made for hire agreement is considered to meet the requirement of the Act, an absurd result would follow.  Between the creation of the work and the signed agreement</w:t>
      </w:r>
      <w:r w:rsidR="00F817CD">
        <w:rPr>
          <w:szCs w:val="24"/>
        </w:rPr>
        <w:t xml:space="preserve">, </w:t>
      </w:r>
      <w:r w:rsidR="00F817CD" w:rsidRPr="00BE650A">
        <w:rPr>
          <w:szCs w:val="24"/>
        </w:rPr>
        <w:t xml:space="preserve">Lime </w:t>
      </w:r>
      <w:r w:rsidR="00F817CD">
        <w:rPr>
          <w:szCs w:val="24"/>
        </w:rPr>
        <w:t>must</w:t>
      </w:r>
      <w:r w:rsidR="00F817CD" w:rsidRPr="00BE650A">
        <w:rPr>
          <w:szCs w:val="24"/>
        </w:rPr>
        <w:t xml:space="preserve"> be considered </w:t>
      </w:r>
      <w:r w:rsidR="007230A6">
        <w:rPr>
          <w:szCs w:val="24"/>
        </w:rPr>
        <w:t xml:space="preserve">the work’s author and owner, and </w:t>
      </w:r>
      <w:r w:rsidR="00F817CD" w:rsidRPr="00BE650A">
        <w:rPr>
          <w:szCs w:val="24"/>
        </w:rPr>
        <w:t xml:space="preserve">Plaintiff would be considered the </w:t>
      </w:r>
      <w:r w:rsidR="007230A6">
        <w:rPr>
          <w:szCs w:val="24"/>
        </w:rPr>
        <w:t xml:space="preserve">work’s legal </w:t>
      </w:r>
      <w:r w:rsidR="00F817CD" w:rsidRPr="00BE650A">
        <w:rPr>
          <w:szCs w:val="24"/>
        </w:rPr>
        <w:t xml:space="preserve">author </w:t>
      </w:r>
      <w:r w:rsidR="007230A6">
        <w:rPr>
          <w:szCs w:val="24"/>
        </w:rPr>
        <w:t>and owner after the agreement</w:t>
      </w:r>
      <w:r w:rsidR="00F817CD" w:rsidRPr="00BE650A">
        <w:rPr>
          <w:szCs w:val="24"/>
        </w:rPr>
        <w:t>.</w:t>
      </w:r>
      <w:r w:rsidR="00F817CD" w:rsidRPr="00F817CD">
        <w:rPr>
          <w:szCs w:val="24"/>
        </w:rPr>
        <w:t xml:space="preserve"> </w:t>
      </w:r>
      <w:r>
        <w:t xml:space="preserve"> </w:t>
      </w:r>
      <w:r w:rsidR="00F817CD" w:rsidRPr="00BE650A">
        <w:rPr>
          <w:szCs w:val="24"/>
        </w:rPr>
        <w:t>This would lead to an absurd result as there would either be a transfer of authorship</w:t>
      </w:r>
      <w:r w:rsidR="00007A07">
        <w:rPr>
          <w:szCs w:val="24"/>
        </w:rPr>
        <w:t>,</w:t>
      </w:r>
      <w:r w:rsidR="00F817CD">
        <w:rPr>
          <w:szCs w:val="24"/>
        </w:rPr>
        <w:t xml:space="preserve"> </w:t>
      </w:r>
      <w:r w:rsidR="00B54796">
        <w:rPr>
          <w:szCs w:val="24"/>
        </w:rPr>
        <w:t>which</w:t>
      </w:r>
      <w:r w:rsidR="007230A6">
        <w:rPr>
          <w:szCs w:val="24"/>
        </w:rPr>
        <w:t xml:space="preserve"> is firmly established at origination</w:t>
      </w:r>
      <w:r w:rsidR="00F817CD" w:rsidRPr="00BE650A">
        <w:rPr>
          <w:szCs w:val="24"/>
        </w:rPr>
        <w:t xml:space="preserve"> </w:t>
      </w:r>
      <w:r w:rsidR="007230A6">
        <w:rPr>
          <w:szCs w:val="24"/>
        </w:rPr>
        <w:t xml:space="preserve">and is not transferrable.  </w:t>
      </w:r>
    </w:p>
    <w:p w14:paraId="73165B3A" w14:textId="77777777" w:rsidR="00007A07" w:rsidRPr="00B54796" w:rsidRDefault="007230A6" w:rsidP="00B54796">
      <w:pPr>
        <w:ind w:firstLine="720"/>
        <w:rPr>
          <w:i/>
          <w:szCs w:val="24"/>
        </w:rPr>
      </w:pPr>
      <w:r>
        <w:rPr>
          <w:szCs w:val="24"/>
        </w:rPr>
        <w:t>Alternatively</w:t>
      </w:r>
      <w:r w:rsidR="00F817CD" w:rsidRPr="00BE650A">
        <w:rPr>
          <w:szCs w:val="24"/>
        </w:rPr>
        <w:t xml:space="preserve"> Lime would retain the rights and privileges of an author, </w:t>
      </w:r>
      <w:r w:rsidR="00F41F50">
        <w:rPr>
          <w:szCs w:val="24"/>
        </w:rPr>
        <w:t>which would result in the screenplay having multiple authors</w:t>
      </w:r>
      <w:r w:rsidR="006858D6">
        <w:rPr>
          <w:szCs w:val="24"/>
        </w:rPr>
        <w:t>.</w:t>
      </w:r>
      <w:r w:rsidR="00B54796">
        <w:rPr>
          <w:i/>
          <w:szCs w:val="24"/>
        </w:rPr>
        <w:t xml:space="preserve"> </w:t>
      </w:r>
      <w:r w:rsidR="00F817CD">
        <w:rPr>
          <w:szCs w:val="24"/>
        </w:rPr>
        <w:t>The Act states that a</w:t>
      </w:r>
      <w:r w:rsidR="000E237F" w:rsidRPr="00BE650A">
        <w:rPr>
          <w:szCs w:val="24"/>
        </w:rPr>
        <w:t xml:space="preserve"> work can only have multiple authors if it is considered a joint work, meaning it was prepared by multiple authors with the intent it be merged into a separate independent work.  </w:t>
      </w:r>
      <w:r w:rsidR="000E237F" w:rsidRPr="00BE650A">
        <w:rPr>
          <w:i/>
          <w:szCs w:val="24"/>
        </w:rPr>
        <w:t xml:space="preserve">See </w:t>
      </w:r>
      <w:r w:rsidR="000E237F" w:rsidRPr="00BE650A">
        <w:rPr>
          <w:szCs w:val="24"/>
        </w:rPr>
        <w:t xml:space="preserve">17 U.S.C. § 101.  As Lime was the only person who </w:t>
      </w:r>
      <w:r w:rsidR="008E4151">
        <w:rPr>
          <w:szCs w:val="24"/>
        </w:rPr>
        <w:t>prepared</w:t>
      </w:r>
      <w:r w:rsidR="000E237F" w:rsidRPr="00BE650A">
        <w:rPr>
          <w:szCs w:val="24"/>
        </w:rPr>
        <w:t xml:space="preserve"> the screenplay, it cannot be considered a joint work and </w:t>
      </w:r>
      <w:r w:rsidR="00B54796">
        <w:rPr>
          <w:szCs w:val="24"/>
        </w:rPr>
        <w:t xml:space="preserve">thus may only have one author.  </w:t>
      </w:r>
      <w:r w:rsidR="0019403F">
        <w:rPr>
          <w:szCs w:val="24"/>
        </w:rPr>
        <w:t xml:space="preserve">A different result would be absurd.  </w:t>
      </w:r>
      <w:r w:rsidR="00B54796">
        <w:rPr>
          <w:szCs w:val="24"/>
        </w:rPr>
        <w:t xml:space="preserve">Consequently, </w:t>
      </w:r>
      <w:r w:rsidR="0019403F">
        <w:rPr>
          <w:szCs w:val="24"/>
        </w:rPr>
        <w:t xml:space="preserve">as authorship is </w:t>
      </w:r>
      <w:r w:rsidR="0019403F">
        <w:rPr>
          <w:szCs w:val="24"/>
        </w:rPr>
        <w:lastRenderedPageBreak/>
        <w:t>nontransferable and Lime’s work does not qualify as a joint work, OGS would only be able to obtain authorship over the work prior to creation.  Such a result would only occur if a work made for hire agreement was executed prior to work creation.</w:t>
      </w:r>
    </w:p>
    <w:p w14:paraId="3BB6B243" w14:textId="77777777" w:rsidR="000E237F" w:rsidRPr="00BE650A" w:rsidRDefault="00007A07" w:rsidP="00BE650A">
      <w:pPr>
        <w:ind w:firstLine="720"/>
        <w:rPr>
          <w:szCs w:val="24"/>
        </w:rPr>
      </w:pPr>
      <w:r>
        <w:rPr>
          <w:szCs w:val="24"/>
        </w:rPr>
        <w:t xml:space="preserve">As a newly created work demands copyright protection at inception, the copyright act must be read to </w:t>
      </w:r>
      <w:r w:rsidR="000A2AFA">
        <w:rPr>
          <w:szCs w:val="24"/>
        </w:rPr>
        <w:t>prevent absurdities.  An absurdity would result if the signed writing requirement for a work made for hire was allowed to come after the creation of a work.</w:t>
      </w:r>
      <w:r>
        <w:rPr>
          <w:szCs w:val="24"/>
        </w:rPr>
        <w:t xml:space="preserve"> </w:t>
      </w:r>
      <w:r w:rsidR="000A2AFA">
        <w:rPr>
          <w:szCs w:val="24"/>
        </w:rPr>
        <w:t xml:space="preserve"> </w:t>
      </w:r>
      <w:r w:rsidR="000E237F" w:rsidRPr="00BE650A">
        <w:rPr>
          <w:szCs w:val="24"/>
        </w:rPr>
        <w:t xml:space="preserve">Consequently, </w:t>
      </w:r>
      <w:r w:rsidR="000E237F">
        <w:rPr>
          <w:szCs w:val="24"/>
        </w:rPr>
        <w:t xml:space="preserve">a plain reading of the Act is that </w:t>
      </w:r>
      <w:r w:rsidR="000E237F" w:rsidRPr="00BE650A">
        <w:rPr>
          <w:szCs w:val="24"/>
        </w:rPr>
        <w:t>the writing must be required prior to the creation of work.</w:t>
      </w:r>
      <w:r w:rsidR="000A2AFA">
        <w:rPr>
          <w:szCs w:val="24"/>
        </w:rPr>
        <w:t xml:space="preserve">  Defendants’ Motion should be granted because the signed work made for hire agreement was not executed </w:t>
      </w:r>
      <w:r w:rsidR="00EB790B">
        <w:rPr>
          <w:szCs w:val="24"/>
        </w:rPr>
        <w:t>prior to work creation as the Act plainly requires</w:t>
      </w:r>
      <w:r w:rsidR="000A2AFA">
        <w:rPr>
          <w:szCs w:val="24"/>
        </w:rPr>
        <w:t>.</w:t>
      </w:r>
    </w:p>
    <w:p w14:paraId="6AE18748" w14:textId="77777777" w:rsidR="000E237F" w:rsidRPr="00BE650A" w:rsidRDefault="000E237F" w:rsidP="00BE650A">
      <w:pPr>
        <w:spacing w:line="240" w:lineRule="auto"/>
        <w:ind w:firstLine="720"/>
        <w:rPr>
          <w:b/>
          <w:szCs w:val="24"/>
        </w:rPr>
      </w:pPr>
      <w:r>
        <w:rPr>
          <w:b/>
          <w:szCs w:val="24"/>
        </w:rPr>
        <w:t>B</w:t>
      </w:r>
      <w:r w:rsidRPr="00BE650A">
        <w:rPr>
          <w:b/>
          <w:szCs w:val="24"/>
        </w:rPr>
        <w:t>.  The Legislative History and Purpose of the Statute Verify That the Signed Written Agreement is Required Prior to Work Creation</w:t>
      </w:r>
    </w:p>
    <w:p w14:paraId="690FD847" w14:textId="77777777" w:rsidR="000E237F" w:rsidRPr="00BE650A" w:rsidRDefault="000E237F" w:rsidP="00BE650A">
      <w:pPr>
        <w:spacing w:line="240" w:lineRule="auto"/>
        <w:ind w:firstLine="720"/>
        <w:rPr>
          <w:b/>
          <w:szCs w:val="24"/>
        </w:rPr>
      </w:pPr>
    </w:p>
    <w:p w14:paraId="1FE91734" w14:textId="77777777" w:rsidR="000E237F" w:rsidRPr="00BE650A" w:rsidRDefault="000E237F" w:rsidP="00BE650A">
      <w:pPr>
        <w:ind w:firstLine="720"/>
        <w:rPr>
          <w:color w:val="252525"/>
          <w:szCs w:val="24"/>
        </w:rPr>
      </w:pPr>
      <w:r>
        <w:rPr>
          <w:color w:val="252525"/>
          <w:szCs w:val="24"/>
        </w:rPr>
        <w:t xml:space="preserve">Even if the Court finds the Act’s language </w:t>
      </w:r>
      <w:r w:rsidR="00EB790B">
        <w:rPr>
          <w:color w:val="252525"/>
          <w:szCs w:val="24"/>
        </w:rPr>
        <w:t xml:space="preserve">does not </w:t>
      </w:r>
      <w:r w:rsidR="0019403F">
        <w:rPr>
          <w:color w:val="252525"/>
          <w:szCs w:val="24"/>
        </w:rPr>
        <w:t>plainly require that the work made for hire agreement precede work creation</w:t>
      </w:r>
      <w:r>
        <w:rPr>
          <w:color w:val="252525"/>
          <w:szCs w:val="24"/>
        </w:rPr>
        <w:t>, t</w:t>
      </w:r>
      <w:r w:rsidRPr="00BE650A">
        <w:rPr>
          <w:color w:val="252525"/>
          <w:szCs w:val="24"/>
        </w:rPr>
        <w:t xml:space="preserve">he legislative history </w:t>
      </w:r>
      <w:r w:rsidR="00EB790B">
        <w:rPr>
          <w:color w:val="252525"/>
          <w:szCs w:val="24"/>
        </w:rPr>
        <w:t>strongly</w:t>
      </w:r>
      <w:r w:rsidRPr="00BE650A">
        <w:rPr>
          <w:color w:val="252525"/>
          <w:szCs w:val="24"/>
        </w:rPr>
        <w:t xml:space="preserve"> </w:t>
      </w:r>
      <w:r w:rsidR="0019403F">
        <w:rPr>
          <w:color w:val="252525"/>
          <w:szCs w:val="24"/>
        </w:rPr>
        <w:t>dictates the requirement</w:t>
      </w:r>
      <w:r w:rsidRPr="00BE650A">
        <w:rPr>
          <w:color w:val="252525"/>
          <w:szCs w:val="24"/>
        </w:rPr>
        <w:t>.  This is best displayed by the statements of Barbara Ringer, Register of Copyrights in the Copyright Office of the Library of Congress.  She testified that a commissioned work would not be considered a work for hire “if the contract were signed later on-after the work was written, for example.  Moreover, and I think this was the basic reason for our acceptance of this compromise, at least there has to be a specific provision in the contract spelling this o</w:t>
      </w:r>
      <w:r w:rsidRPr="00252DBA">
        <w:rPr>
          <w:color w:val="252525"/>
          <w:szCs w:val="24"/>
        </w:rPr>
        <w:t xml:space="preserve">ut.” </w:t>
      </w:r>
      <w:r w:rsidR="00252DBA" w:rsidRPr="00252DBA">
        <w:rPr>
          <w:rStyle w:val="Emphasis"/>
          <w:color w:val="222222"/>
          <w:szCs w:val="24"/>
        </w:rPr>
        <w:t>Copyright Law Revision, Part 5, 1964 Revision Bill with Discussions and Comments</w:t>
      </w:r>
      <w:r w:rsidR="00252DBA" w:rsidRPr="00252DBA">
        <w:rPr>
          <w:color w:val="222222"/>
          <w:szCs w:val="24"/>
        </w:rPr>
        <w:t>, 89th Cong., 145 (Comm. Print 1965)</w:t>
      </w:r>
      <w:r w:rsidRPr="00252DBA">
        <w:rPr>
          <w:color w:val="252525"/>
          <w:szCs w:val="24"/>
        </w:rPr>
        <w:t>.</w:t>
      </w:r>
    </w:p>
    <w:p w14:paraId="4C2BDF96" w14:textId="77777777" w:rsidR="000E237F" w:rsidRDefault="000E237F" w:rsidP="00BE650A">
      <w:pPr>
        <w:ind w:firstLine="720"/>
        <w:rPr>
          <w:color w:val="252525"/>
          <w:szCs w:val="24"/>
        </w:rPr>
      </w:pPr>
      <w:r w:rsidRPr="00BE650A">
        <w:rPr>
          <w:szCs w:val="24"/>
        </w:rPr>
        <w:t xml:space="preserve">Prior to the Copyright Act of 1976, a party who </w:t>
      </w:r>
      <w:r>
        <w:rPr>
          <w:szCs w:val="24"/>
        </w:rPr>
        <w:t>commissioned</w:t>
      </w:r>
      <w:r w:rsidRPr="00BE650A">
        <w:rPr>
          <w:szCs w:val="24"/>
        </w:rPr>
        <w:t xml:space="preserve"> a work to be created was presumed to be the owner of the </w:t>
      </w:r>
      <w:r>
        <w:rPr>
          <w:szCs w:val="24"/>
        </w:rPr>
        <w:t xml:space="preserve">work’s </w:t>
      </w:r>
      <w:r w:rsidRPr="00BE650A">
        <w:rPr>
          <w:szCs w:val="24"/>
        </w:rPr>
        <w:t xml:space="preserve">copyright.  The Act altered this presumption to make the creator the default author and owner, unless the requirements established in the Act were met.  This shows a clear legislative intent to protect the author of a work.  </w:t>
      </w:r>
      <w:r>
        <w:rPr>
          <w:szCs w:val="24"/>
        </w:rPr>
        <w:t xml:space="preserve">This intent is </w:t>
      </w:r>
      <w:r w:rsidR="00EB790B">
        <w:rPr>
          <w:szCs w:val="24"/>
        </w:rPr>
        <w:t xml:space="preserve">further </w:t>
      </w:r>
      <w:r>
        <w:rPr>
          <w:szCs w:val="24"/>
        </w:rPr>
        <w:lastRenderedPageBreak/>
        <w:t>exhibited in</w:t>
      </w:r>
      <w:r w:rsidRPr="00BE650A">
        <w:rPr>
          <w:szCs w:val="24"/>
        </w:rPr>
        <w:t xml:space="preserve"> the prelim</w:t>
      </w:r>
      <w:r>
        <w:rPr>
          <w:szCs w:val="24"/>
        </w:rPr>
        <w:t>inary draft of the Act, where</w:t>
      </w:r>
      <w:r w:rsidRPr="00BE650A">
        <w:rPr>
          <w:szCs w:val="24"/>
        </w:rPr>
        <w:t xml:space="preserve"> a wo</w:t>
      </w:r>
      <w:r>
        <w:rPr>
          <w:szCs w:val="24"/>
        </w:rPr>
        <w:t>rk made for hire was</w:t>
      </w:r>
      <w:r w:rsidRPr="00BE650A">
        <w:rPr>
          <w:szCs w:val="24"/>
        </w:rPr>
        <w:t xml:space="preserve"> defined as ''a work prepared by an employee within the scope of the duties of his employment, but not including a work made on special order or commission.'' </w:t>
      </w:r>
      <w:r>
        <w:rPr>
          <w:szCs w:val="24"/>
        </w:rPr>
        <w:t xml:space="preserve"> </w:t>
      </w:r>
      <w:proofErr w:type="gramStart"/>
      <w:r w:rsidRPr="00CB52B8">
        <w:rPr>
          <w:color w:val="252525"/>
          <w:szCs w:val="24"/>
        </w:rPr>
        <w:t>Register Of Copyrights, 89th Cong., Supplementary Report on Copyright Law Revision pt. 6, at 66 (Comm. Print 1965).</w:t>
      </w:r>
      <w:proofErr w:type="gramEnd"/>
      <w:r w:rsidRPr="00BE650A">
        <w:rPr>
          <w:color w:val="252525"/>
          <w:szCs w:val="24"/>
        </w:rPr>
        <w:t xml:space="preserve">   The text </w:t>
      </w:r>
      <w:r w:rsidR="00CB52B8">
        <w:rPr>
          <w:color w:val="252525"/>
          <w:szCs w:val="24"/>
        </w:rPr>
        <w:t xml:space="preserve">currently </w:t>
      </w:r>
      <w:r w:rsidRPr="00BE650A">
        <w:rPr>
          <w:color w:val="252525"/>
          <w:szCs w:val="24"/>
        </w:rPr>
        <w:t xml:space="preserve">found in the Act was established after opposition from publishers and a meticulously crafted compromise by legislature.  </w:t>
      </w:r>
      <w:r w:rsidRPr="00BE650A">
        <w:rPr>
          <w:i/>
          <w:color w:val="252525"/>
          <w:szCs w:val="24"/>
        </w:rPr>
        <w:t>Id.</w:t>
      </w:r>
      <w:r w:rsidRPr="00BE650A">
        <w:rPr>
          <w:color w:val="252525"/>
          <w:szCs w:val="24"/>
        </w:rPr>
        <w:t xml:space="preserve"> at 67.  The compromise “spells out those specific categories of commissioned works that can be considered ‘works made for hire under </w:t>
      </w:r>
      <w:r w:rsidRPr="00BE650A">
        <w:rPr>
          <w:i/>
          <w:color w:val="252525"/>
          <w:szCs w:val="24"/>
        </w:rPr>
        <w:t>certain</w:t>
      </w:r>
      <w:r w:rsidRPr="00BE650A">
        <w:rPr>
          <w:color w:val="252525"/>
          <w:szCs w:val="24"/>
        </w:rPr>
        <w:t xml:space="preserve"> circumstances.”  </w:t>
      </w:r>
      <w:r w:rsidRPr="0082018E">
        <w:rPr>
          <w:color w:val="252525"/>
          <w:szCs w:val="24"/>
        </w:rPr>
        <w:t>H.R. Rep. No.</w:t>
      </w:r>
      <w:r w:rsidRPr="00BE650A">
        <w:rPr>
          <w:color w:val="252525"/>
          <w:szCs w:val="24"/>
        </w:rPr>
        <w:t xml:space="preserve"> 94-1476, at 76 (1976)</w:t>
      </w:r>
      <w:r w:rsidR="00CB52B8">
        <w:rPr>
          <w:color w:val="252525"/>
          <w:szCs w:val="24"/>
        </w:rPr>
        <w:t xml:space="preserve"> (emphasis added</w:t>
      </w:r>
      <w:r>
        <w:rPr>
          <w:color w:val="252525"/>
          <w:szCs w:val="24"/>
        </w:rPr>
        <w:t>)</w:t>
      </w:r>
      <w:r w:rsidR="008A3FAC">
        <w:rPr>
          <w:color w:val="252525"/>
          <w:szCs w:val="24"/>
        </w:rPr>
        <w:t>.</w:t>
      </w:r>
    </w:p>
    <w:p w14:paraId="4A2D5216" w14:textId="77777777" w:rsidR="00DA3A44" w:rsidRDefault="000E237F" w:rsidP="00DA3A44">
      <w:pPr>
        <w:ind w:firstLine="720"/>
        <w:rPr>
          <w:rFonts w:eastAsia="Times New Roman"/>
          <w:szCs w:val="24"/>
        </w:rPr>
      </w:pPr>
      <w:r>
        <w:rPr>
          <w:color w:val="252525"/>
          <w:szCs w:val="24"/>
        </w:rPr>
        <w:t xml:space="preserve">These specific </w:t>
      </w:r>
      <w:r w:rsidR="008F5772">
        <w:rPr>
          <w:color w:val="252525"/>
          <w:szCs w:val="24"/>
        </w:rPr>
        <w:t xml:space="preserve">enumerated </w:t>
      </w:r>
      <w:r>
        <w:rPr>
          <w:color w:val="252525"/>
          <w:szCs w:val="24"/>
        </w:rPr>
        <w:t xml:space="preserve">categories and certain circumstances are exceptions to the general rule that the creator of the work is the author and owner of the copyright.  </w:t>
      </w:r>
      <w:r>
        <w:t xml:space="preserve">When interpreting legislative history, the maxim </w:t>
      </w:r>
      <w:r>
        <w:rPr>
          <w:i/>
        </w:rPr>
        <w:t xml:space="preserve">expression </w:t>
      </w:r>
      <w:proofErr w:type="spellStart"/>
      <w:r>
        <w:rPr>
          <w:i/>
        </w:rPr>
        <w:t>unius</w:t>
      </w:r>
      <w:proofErr w:type="spellEnd"/>
      <w:r>
        <w:rPr>
          <w:i/>
        </w:rPr>
        <w:t xml:space="preserve"> </w:t>
      </w:r>
      <w:proofErr w:type="spellStart"/>
      <w:r>
        <w:rPr>
          <w:i/>
        </w:rPr>
        <w:t>est</w:t>
      </w:r>
      <w:proofErr w:type="spellEnd"/>
      <w:r>
        <w:rPr>
          <w:i/>
        </w:rPr>
        <w:t xml:space="preserve"> exclusion </w:t>
      </w:r>
      <w:proofErr w:type="spellStart"/>
      <w:r>
        <w:rPr>
          <w:i/>
        </w:rPr>
        <w:t>alterius</w:t>
      </w:r>
      <w:proofErr w:type="spellEnd"/>
      <w:r>
        <w:t xml:space="preserve"> typically applies.</w:t>
      </w:r>
      <w:r w:rsidRPr="00BE650A">
        <w:rPr>
          <w:color w:val="252525"/>
          <w:szCs w:val="24"/>
        </w:rPr>
        <w:t xml:space="preserve">  </w:t>
      </w:r>
      <w:r>
        <w:rPr>
          <w:color w:val="252525"/>
          <w:szCs w:val="24"/>
        </w:rPr>
        <w:t xml:space="preserve">This means that the expression of one excludes others.  </w:t>
      </w:r>
      <w:r w:rsidR="00A43165">
        <w:rPr>
          <w:color w:val="252525"/>
          <w:szCs w:val="24"/>
        </w:rPr>
        <w:t>Courts have previously stated that “</w:t>
      </w:r>
      <w:r w:rsidR="00A43165">
        <w:rPr>
          <w:rFonts w:eastAsia="Times New Roman"/>
          <w:szCs w:val="24"/>
        </w:rPr>
        <w:t>This canon of construction</w:t>
      </w:r>
      <w:r w:rsidR="00A43165" w:rsidRPr="00DB498A">
        <w:rPr>
          <w:rFonts w:eastAsia="Times New Roman"/>
          <w:szCs w:val="24"/>
        </w:rPr>
        <w:t xml:space="preserve"> is particularly significant where a provision mandates active compliance.</w:t>
      </w:r>
      <w:r w:rsidR="00A43165">
        <w:rPr>
          <w:rFonts w:eastAsia="Times New Roman"/>
          <w:szCs w:val="24"/>
        </w:rPr>
        <w:t xml:space="preserve">” </w:t>
      </w:r>
      <w:proofErr w:type="gramStart"/>
      <w:r w:rsidR="00A43165">
        <w:rPr>
          <w:rFonts w:eastAsia="Times New Roman"/>
          <w:i/>
          <w:szCs w:val="24"/>
        </w:rPr>
        <w:t>Scott v. City of N.Y.</w:t>
      </w:r>
      <w:r w:rsidR="00A43165" w:rsidRPr="00DB498A">
        <w:rPr>
          <w:rFonts w:eastAsia="Times New Roman"/>
          <w:szCs w:val="24"/>
        </w:rPr>
        <w:t>, 592 F. Supp. 2d 501, 506-07 (S.D.N.Y. 2008)</w:t>
      </w:r>
      <w:r w:rsidR="00A43165">
        <w:rPr>
          <w:rFonts w:eastAsia="Times New Roman"/>
          <w:szCs w:val="24"/>
        </w:rPr>
        <w:t>.</w:t>
      </w:r>
      <w:proofErr w:type="gramEnd"/>
      <w:r w:rsidR="00A43165">
        <w:rPr>
          <w:rFonts w:eastAsia="Times New Roman"/>
          <w:szCs w:val="24"/>
        </w:rPr>
        <w:t xml:space="preserve">  This applies directly to the instant case because Congress mandates a signed written agreement be established prior to a work being considered made for hire.  </w:t>
      </w:r>
      <w:r>
        <w:rPr>
          <w:color w:val="252525"/>
          <w:szCs w:val="24"/>
        </w:rPr>
        <w:t xml:space="preserve">Under this maxim, we must assume that legislature intended to only allow the explicit exceptions stated in the statute: in </w:t>
      </w:r>
      <w:r w:rsidR="00CB52B8">
        <w:rPr>
          <w:color w:val="252525"/>
          <w:szCs w:val="24"/>
        </w:rPr>
        <w:t>the instant</w:t>
      </w:r>
      <w:r>
        <w:rPr>
          <w:color w:val="252525"/>
          <w:szCs w:val="24"/>
        </w:rPr>
        <w:t xml:space="preserve"> case, that a work may be considered a work made for hire </w:t>
      </w:r>
      <w:r w:rsidR="00DB498A">
        <w:rPr>
          <w:color w:val="252525"/>
          <w:szCs w:val="24"/>
        </w:rPr>
        <w:t xml:space="preserve">only </w:t>
      </w:r>
      <w:r>
        <w:rPr>
          <w:color w:val="252525"/>
          <w:szCs w:val="24"/>
        </w:rPr>
        <w:t xml:space="preserve">if there is a written agreement signed by both parties.  </w:t>
      </w:r>
      <w:r>
        <w:rPr>
          <w:i/>
          <w:color w:val="252525"/>
          <w:szCs w:val="24"/>
        </w:rPr>
        <w:t xml:space="preserve">See </w:t>
      </w:r>
      <w:r w:rsidR="008F5772">
        <w:rPr>
          <w:color w:val="252525"/>
          <w:szCs w:val="24"/>
        </w:rPr>
        <w:t xml:space="preserve">17 U.S.C. § 101.  </w:t>
      </w:r>
      <w:r>
        <w:rPr>
          <w:color w:val="252525"/>
          <w:szCs w:val="24"/>
        </w:rPr>
        <w:t xml:space="preserve">Plaintiff argues that the oral agreement reached before the work was created is sufficient to consider the work made for hire because it was later documented in a written agreement.  </w:t>
      </w:r>
      <w:r w:rsidR="00A43165">
        <w:rPr>
          <w:color w:val="252525"/>
          <w:szCs w:val="24"/>
        </w:rPr>
        <w:t xml:space="preserve">This goes against the maxim, because a work made for hire is an exception which explicitly calls for a signed written agreement.  </w:t>
      </w:r>
      <w:r w:rsidR="00DB498A">
        <w:rPr>
          <w:color w:val="252525"/>
          <w:szCs w:val="24"/>
        </w:rPr>
        <w:t xml:space="preserve">Initially allowing an oral agreement that is later placed into </w:t>
      </w:r>
      <w:r w:rsidR="00DA3A44">
        <w:rPr>
          <w:color w:val="252525"/>
          <w:szCs w:val="24"/>
        </w:rPr>
        <w:t>writing</w:t>
      </w:r>
      <w:r w:rsidR="00A43165">
        <w:rPr>
          <w:color w:val="252525"/>
          <w:szCs w:val="24"/>
        </w:rPr>
        <w:t xml:space="preserve"> would add to the enumerated exception, and deviate </w:t>
      </w:r>
      <w:r w:rsidR="00A43165">
        <w:rPr>
          <w:color w:val="252525"/>
          <w:szCs w:val="24"/>
        </w:rPr>
        <w:lastRenderedPageBreak/>
        <w:t>from congressional intent</w:t>
      </w:r>
      <w:r w:rsidR="00DB498A">
        <w:rPr>
          <w:color w:val="252525"/>
          <w:szCs w:val="24"/>
        </w:rPr>
        <w:t xml:space="preserve">.  </w:t>
      </w:r>
      <w:r w:rsidR="00A43165">
        <w:rPr>
          <w:color w:val="252525"/>
          <w:szCs w:val="24"/>
        </w:rPr>
        <w:t>This</w:t>
      </w:r>
      <w:r w:rsidR="008F5772">
        <w:rPr>
          <w:color w:val="252525"/>
          <w:szCs w:val="24"/>
        </w:rPr>
        <w:t xml:space="preserve"> maxim mandates</w:t>
      </w:r>
      <w:r w:rsidR="00DA3A44">
        <w:rPr>
          <w:color w:val="252525"/>
          <w:szCs w:val="24"/>
        </w:rPr>
        <w:t xml:space="preserve"> t</w:t>
      </w:r>
      <w:r>
        <w:rPr>
          <w:color w:val="252525"/>
          <w:szCs w:val="24"/>
        </w:rPr>
        <w:t>he requirement of a writ</w:t>
      </w:r>
      <w:r w:rsidR="00A43165">
        <w:rPr>
          <w:color w:val="252525"/>
          <w:szCs w:val="24"/>
        </w:rPr>
        <w:t>ten agreement</w:t>
      </w:r>
      <w:r>
        <w:rPr>
          <w:color w:val="252525"/>
          <w:szCs w:val="24"/>
        </w:rPr>
        <w:t xml:space="preserve"> be </w:t>
      </w:r>
      <w:r w:rsidR="00DA3A44">
        <w:rPr>
          <w:color w:val="252525"/>
          <w:szCs w:val="24"/>
        </w:rPr>
        <w:t xml:space="preserve">read </w:t>
      </w:r>
      <w:r w:rsidR="00A43165">
        <w:rPr>
          <w:color w:val="252525"/>
          <w:szCs w:val="24"/>
        </w:rPr>
        <w:t>strictly and consequently, t</w:t>
      </w:r>
      <w:r w:rsidR="00DA3A44">
        <w:rPr>
          <w:color w:val="252525"/>
          <w:szCs w:val="24"/>
        </w:rPr>
        <w:t>his Court should not allow a work made for hire agreement to be initially made orally and later put into writing.</w:t>
      </w:r>
    </w:p>
    <w:p w14:paraId="47B2F29A" w14:textId="77777777" w:rsidR="000E237F" w:rsidRDefault="00A43165" w:rsidP="00DA3A44">
      <w:pPr>
        <w:ind w:firstLine="720"/>
        <w:rPr>
          <w:color w:val="252525"/>
          <w:szCs w:val="24"/>
        </w:rPr>
      </w:pPr>
      <w:r>
        <w:rPr>
          <w:color w:val="252525"/>
          <w:szCs w:val="24"/>
        </w:rPr>
        <w:t>Additionally, t</w:t>
      </w:r>
      <w:r w:rsidR="000E237F">
        <w:rPr>
          <w:color w:val="252525"/>
          <w:szCs w:val="24"/>
        </w:rPr>
        <w:t xml:space="preserve">he meticulous compromise required in order to pass the Copyright Act firmly establishes that the Act must be interpreted so as to keep each word in the statute meaningful.  Plaintiff’s argument that the written agreement should be allowed to be established after the work’s creation would be duplicative of the transfer of ownership provision of the Act.  </w:t>
      </w:r>
      <w:r w:rsidR="000E237F">
        <w:rPr>
          <w:i/>
          <w:color w:val="252525"/>
          <w:szCs w:val="24"/>
        </w:rPr>
        <w:t xml:space="preserve">See </w:t>
      </w:r>
      <w:r w:rsidR="000E237F">
        <w:rPr>
          <w:color w:val="252525"/>
          <w:szCs w:val="24"/>
        </w:rPr>
        <w:t xml:space="preserve">17 </w:t>
      </w:r>
      <w:r w:rsidR="00F53CD4">
        <w:rPr>
          <w:color w:val="252525"/>
          <w:szCs w:val="24"/>
        </w:rPr>
        <w:t>U.S.C. § 201(d)</w:t>
      </w:r>
      <w:r w:rsidR="000E237F">
        <w:rPr>
          <w:color w:val="252525"/>
          <w:szCs w:val="24"/>
        </w:rPr>
        <w:t xml:space="preserve">.  This provision allows for the transfer of copyright </w:t>
      </w:r>
      <w:r w:rsidR="00F53CD4">
        <w:rPr>
          <w:color w:val="252525"/>
          <w:szCs w:val="24"/>
        </w:rPr>
        <w:t xml:space="preserve">ownership </w:t>
      </w:r>
      <w:r w:rsidR="000E237F">
        <w:rPr>
          <w:color w:val="252525"/>
          <w:szCs w:val="24"/>
        </w:rPr>
        <w:t xml:space="preserve">from one party to another.  </w:t>
      </w:r>
      <w:r w:rsidR="000E237F">
        <w:rPr>
          <w:i/>
          <w:color w:val="252525"/>
          <w:szCs w:val="24"/>
        </w:rPr>
        <w:t>Id.</w:t>
      </w:r>
      <w:r w:rsidR="000E237F">
        <w:rPr>
          <w:color w:val="252525"/>
          <w:szCs w:val="24"/>
        </w:rPr>
        <w:t xml:space="preserve">  As a work requires copyright protection at inception, a post inception work made for hire agreement would simply be a transfer of ownership.  It is not likely that after such deliberation and compromise, the drafters would intend two provisions of the Act to have the same result.  Thus, to differentiate a work made for hire </w:t>
      </w:r>
      <w:r w:rsidR="00F53CD4">
        <w:rPr>
          <w:color w:val="252525"/>
          <w:szCs w:val="24"/>
        </w:rPr>
        <w:t>provision</w:t>
      </w:r>
      <w:r w:rsidR="000E237F">
        <w:rPr>
          <w:color w:val="252525"/>
          <w:szCs w:val="24"/>
        </w:rPr>
        <w:t xml:space="preserve"> from a transfer of ownership provision, the work made for hire provision should be read to require a signed writing prior to work creation.  </w:t>
      </w:r>
      <w:r>
        <w:rPr>
          <w:color w:val="252525"/>
          <w:szCs w:val="24"/>
        </w:rPr>
        <w:t>One</w:t>
      </w:r>
      <w:r w:rsidR="000E237F">
        <w:rPr>
          <w:color w:val="252525"/>
          <w:szCs w:val="24"/>
        </w:rPr>
        <w:t xml:space="preserve"> may argue that the work made for hire agreement would make OGS the author of the screenplay while a transfer of ownership would only make OGS the owner of the </w:t>
      </w:r>
      <w:r>
        <w:rPr>
          <w:color w:val="252525"/>
          <w:szCs w:val="24"/>
        </w:rPr>
        <w:t xml:space="preserve">copyright and not the author.  This argument further supports the position that a work made for hire agreement be executed prior to work creation.  A work’s author is established at creation, and if the work’s commissioner is to be considered its legal author, </w:t>
      </w:r>
      <w:r w:rsidR="00D209B1">
        <w:rPr>
          <w:color w:val="252525"/>
          <w:szCs w:val="24"/>
        </w:rPr>
        <w:t>this must be established before creation.  Once a work is created, authorship is unable to be transferred.</w:t>
      </w:r>
    </w:p>
    <w:p w14:paraId="3711EB44" w14:textId="77777777" w:rsidR="00696B2F" w:rsidRPr="00696B2F" w:rsidRDefault="00696B2F" w:rsidP="00696B2F">
      <w:pPr>
        <w:ind w:firstLine="720"/>
        <w:rPr>
          <w:szCs w:val="24"/>
        </w:rPr>
      </w:pPr>
      <w:r>
        <w:rPr>
          <w:szCs w:val="24"/>
        </w:rPr>
        <w:t xml:space="preserve">Defendants’ Motion should be granted because legislative history </w:t>
      </w:r>
      <w:r w:rsidR="00D209B1">
        <w:rPr>
          <w:szCs w:val="24"/>
        </w:rPr>
        <w:t xml:space="preserve">exhibits </w:t>
      </w:r>
      <w:r>
        <w:rPr>
          <w:szCs w:val="24"/>
        </w:rPr>
        <w:t>Congress</w:t>
      </w:r>
      <w:r w:rsidR="00D209B1">
        <w:rPr>
          <w:szCs w:val="24"/>
        </w:rPr>
        <w:t>ional intent</w:t>
      </w:r>
      <w:r>
        <w:rPr>
          <w:szCs w:val="24"/>
        </w:rPr>
        <w:t xml:space="preserve"> to require a signed work made for hire agreement prior to work creation.</w:t>
      </w:r>
    </w:p>
    <w:p w14:paraId="457B6A11" w14:textId="77777777" w:rsidR="00252DBA" w:rsidRDefault="00252DBA" w:rsidP="00BE650A">
      <w:pPr>
        <w:ind w:firstLine="720"/>
        <w:rPr>
          <w:b/>
          <w:color w:val="252525"/>
          <w:szCs w:val="24"/>
        </w:rPr>
      </w:pPr>
    </w:p>
    <w:p w14:paraId="2AA0EA44" w14:textId="77777777" w:rsidR="00252DBA" w:rsidRDefault="00252DBA" w:rsidP="00BE650A">
      <w:pPr>
        <w:ind w:firstLine="720"/>
        <w:rPr>
          <w:b/>
          <w:color w:val="252525"/>
          <w:szCs w:val="24"/>
        </w:rPr>
      </w:pPr>
    </w:p>
    <w:p w14:paraId="7A47EF3E" w14:textId="77777777" w:rsidR="000E237F" w:rsidRDefault="000E237F" w:rsidP="00BE650A">
      <w:pPr>
        <w:ind w:firstLine="720"/>
        <w:rPr>
          <w:color w:val="252525"/>
          <w:szCs w:val="24"/>
        </w:rPr>
      </w:pPr>
      <w:r>
        <w:rPr>
          <w:b/>
          <w:color w:val="252525"/>
          <w:szCs w:val="24"/>
        </w:rPr>
        <w:lastRenderedPageBreak/>
        <w:t>C.  Precedent Mandates Dismissal of Plaintiff’s Claim</w:t>
      </w:r>
    </w:p>
    <w:p w14:paraId="34B214BC" w14:textId="77777777" w:rsidR="000E237F" w:rsidRDefault="000E237F" w:rsidP="00BE650A">
      <w:pPr>
        <w:ind w:firstLine="720"/>
        <w:rPr>
          <w:color w:val="252525"/>
          <w:szCs w:val="24"/>
        </w:rPr>
      </w:pPr>
      <w:r>
        <w:rPr>
          <w:color w:val="252525"/>
          <w:szCs w:val="24"/>
        </w:rPr>
        <w:t xml:space="preserve">Though this case is one of first impression in the District Court of Moot, the </w:t>
      </w:r>
      <w:r w:rsidR="00F53CD4">
        <w:rPr>
          <w:color w:val="252525"/>
          <w:szCs w:val="24"/>
        </w:rPr>
        <w:t>Second</w:t>
      </w:r>
      <w:r>
        <w:rPr>
          <w:color w:val="252525"/>
          <w:szCs w:val="24"/>
        </w:rPr>
        <w:t xml:space="preserve"> and </w:t>
      </w:r>
      <w:r w:rsidR="00F53CD4">
        <w:rPr>
          <w:color w:val="252525"/>
          <w:szCs w:val="24"/>
        </w:rPr>
        <w:t>Seventh</w:t>
      </w:r>
      <w:r>
        <w:rPr>
          <w:color w:val="252525"/>
          <w:szCs w:val="24"/>
        </w:rPr>
        <w:t xml:space="preserve"> Circuits have ruled on similar claims.  There is a clear circuit split on the issue of when the written signed agreement must be established.  The </w:t>
      </w:r>
      <w:r w:rsidR="00F53CD4">
        <w:rPr>
          <w:color w:val="252525"/>
          <w:szCs w:val="24"/>
        </w:rPr>
        <w:t>Seventh</w:t>
      </w:r>
      <w:r>
        <w:rPr>
          <w:color w:val="252525"/>
          <w:szCs w:val="24"/>
        </w:rPr>
        <w:t xml:space="preserve"> Circuit has held that the written agreement must precede the creation of work, and the </w:t>
      </w:r>
      <w:r w:rsidR="00F53CD4">
        <w:rPr>
          <w:color w:val="252525"/>
          <w:szCs w:val="24"/>
        </w:rPr>
        <w:t>Second</w:t>
      </w:r>
      <w:r>
        <w:rPr>
          <w:color w:val="252525"/>
          <w:szCs w:val="24"/>
        </w:rPr>
        <w:t xml:space="preserve"> Circuit has held that a written agreement can succeed the work creation if the parties had a previous agreement establishing the work made for hire. </w:t>
      </w:r>
    </w:p>
    <w:p w14:paraId="2ED249D6" w14:textId="77777777" w:rsidR="001D1C02" w:rsidRPr="001D1C02" w:rsidRDefault="000E237F" w:rsidP="001D1C02">
      <w:pPr>
        <w:ind w:firstLine="720"/>
        <w:rPr>
          <w:color w:val="252525"/>
          <w:szCs w:val="24"/>
        </w:rPr>
      </w:pPr>
      <w:r>
        <w:rPr>
          <w:color w:val="252525"/>
          <w:szCs w:val="24"/>
        </w:rPr>
        <w:t xml:space="preserve">The </w:t>
      </w:r>
      <w:r w:rsidR="00F53CD4">
        <w:rPr>
          <w:color w:val="252525"/>
          <w:szCs w:val="24"/>
        </w:rPr>
        <w:t>Seventh</w:t>
      </w:r>
      <w:r>
        <w:rPr>
          <w:color w:val="252525"/>
          <w:szCs w:val="24"/>
        </w:rPr>
        <w:t xml:space="preserve"> Circuit ruled on a case where the plaintiff, owner of copyright on an office supply catalogue, brought a copyright infringement claim against the defendant, a competitor which used photographs in its catalogues that were used in the plaintiff’s catalogue.  </w:t>
      </w:r>
      <w:proofErr w:type="gramStart"/>
      <w:r>
        <w:rPr>
          <w:i/>
          <w:color w:val="252525"/>
          <w:szCs w:val="24"/>
        </w:rPr>
        <w:t xml:space="preserve">See </w:t>
      </w:r>
      <w:r>
        <w:rPr>
          <w:color w:val="252525"/>
          <w:szCs w:val="24"/>
        </w:rPr>
        <w:t xml:space="preserve"> </w:t>
      </w:r>
      <w:r w:rsidRPr="004829DA">
        <w:rPr>
          <w:i/>
        </w:rPr>
        <w:t>Schiller</w:t>
      </w:r>
      <w:proofErr w:type="gramEnd"/>
      <w:r w:rsidRPr="004829DA">
        <w:rPr>
          <w:i/>
        </w:rPr>
        <w:t xml:space="preserve"> &amp; Schmidt, Inc. v. </w:t>
      </w:r>
      <w:proofErr w:type="spellStart"/>
      <w:r w:rsidRPr="004829DA">
        <w:rPr>
          <w:i/>
        </w:rPr>
        <w:t>Nordisco</w:t>
      </w:r>
      <w:proofErr w:type="spellEnd"/>
      <w:r w:rsidRPr="004829DA">
        <w:rPr>
          <w:i/>
        </w:rPr>
        <w:t xml:space="preserve"> Corp.</w:t>
      </w:r>
      <w:r>
        <w:t>, 969 F.2d 410</w:t>
      </w:r>
      <w:r w:rsidR="00D307E1">
        <w:t xml:space="preserve">, </w:t>
      </w:r>
      <w:r w:rsidR="00F53CD4">
        <w:t>411</w:t>
      </w:r>
      <w:r>
        <w:t xml:space="preserve"> </w:t>
      </w:r>
      <w:r w:rsidRPr="004829DA">
        <w:t>(</w:t>
      </w:r>
      <w:r w:rsidR="004A7513">
        <w:t>7th</w:t>
      </w:r>
      <w:r w:rsidRPr="004829DA">
        <w:t xml:space="preserve"> Cir. 1992)</w:t>
      </w:r>
      <w:r>
        <w:t>.</w:t>
      </w:r>
      <w:r>
        <w:rPr>
          <w:color w:val="252525"/>
          <w:szCs w:val="24"/>
        </w:rPr>
        <w:t xml:space="preserve">  The photographer, copyright owner in the aforementioned photographs, signed a work made for hire agreement after the creation of the photographs.  </w:t>
      </w:r>
      <w:r>
        <w:rPr>
          <w:i/>
          <w:color w:val="252525"/>
          <w:szCs w:val="24"/>
        </w:rPr>
        <w:t xml:space="preserve">Id. </w:t>
      </w:r>
      <w:r w:rsidR="00E94CFB">
        <w:rPr>
          <w:color w:val="252525"/>
          <w:szCs w:val="24"/>
        </w:rPr>
        <w:t>at 412.  The c</w:t>
      </w:r>
      <w:r>
        <w:rPr>
          <w:color w:val="252525"/>
          <w:szCs w:val="24"/>
        </w:rPr>
        <w:t xml:space="preserve">ourt held that this agreement came too late and </w:t>
      </w:r>
      <w:r w:rsidR="00E94CFB">
        <w:rPr>
          <w:color w:val="252525"/>
          <w:szCs w:val="24"/>
        </w:rPr>
        <w:t xml:space="preserve">that </w:t>
      </w:r>
      <w:r>
        <w:rPr>
          <w:color w:val="252525"/>
          <w:szCs w:val="24"/>
        </w:rPr>
        <w:t xml:space="preserve">“the writing must precede the creation of the property” </w:t>
      </w:r>
      <w:r>
        <w:rPr>
          <w:i/>
          <w:color w:val="252525"/>
          <w:szCs w:val="24"/>
        </w:rPr>
        <w:t xml:space="preserve">Id. </w:t>
      </w:r>
      <w:r w:rsidR="00E94CFB">
        <w:rPr>
          <w:color w:val="252525"/>
          <w:szCs w:val="24"/>
        </w:rPr>
        <w:t>at 413.  The c</w:t>
      </w:r>
      <w:r>
        <w:rPr>
          <w:color w:val="252525"/>
          <w:szCs w:val="24"/>
        </w:rPr>
        <w:t xml:space="preserve">ourt reasoned that the written statement requirement is not meant only to protect people against false oral agreement claims, but it is also meant to “make the ownership of property rights…clear and definite, so that such property will be readily marketable.”  </w:t>
      </w:r>
      <w:proofErr w:type="gramStart"/>
      <w:r>
        <w:rPr>
          <w:i/>
          <w:color w:val="252525"/>
          <w:szCs w:val="24"/>
        </w:rPr>
        <w:t xml:space="preserve">Id. </w:t>
      </w:r>
      <w:r>
        <w:rPr>
          <w:color w:val="252525"/>
          <w:szCs w:val="24"/>
        </w:rPr>
        <w:t>at 412.</w:t>
      </w:r>
      <w:proofErr w:type="gramEnd"/>
      <w:r>
        <w:rPr>
          <w:color w:val="252525"/>
          <w:szCs w:val="24"/>
        </w:rPr>
        <w:t xml:space="preserve">  </w:t>
      </w:r>
      <w:r w:rsidR="001D1C02">
        <w:rPr>
          <w:color w:val="252525"/>
          <w:szCs w:val="24"/>
        </w:rPr>
        <w:t xml:space="preserve">The facts in the instant case align with the facts in </w:t>
      </w:r>
      <w:r w:rsidR="001D1C02">
        <w:rPr>
          <w:i/>
          <w:color w:val="252525"/>
          <w:szCs w:val="24"/>
        </w:rPr>
        <w:t>Schiller</w:t>
      </w:r>
      <w:r w:rsidR="001D1C02">
        <w:rPr>
          <w:color w:val="252525"/>
          <w:szCs w:val="24"/>
        </w:rPr>
        <w:t xml:space="preserve"> as in both cases the creator of the work was not an employee of the plaintiff.  </w:t>
      </w:r>
      <w:r w:rsidR="00E94CFB">
        <w:rPr>
          <w:color w:val="252525"/>
          <w:szCs w:val="24"/>
        </w:rPr>
        <w:t>Also i</w:t>
      </w:r>
      <w:r w:rsidR="001D1C02">
        <w:rPr>
          <w:color w:val="252525"/>
          <w:szCs w:val="24"/>
        </w:rPr>
        <w:t>n both cases</w:t>
      </w:r>
      <w:r w:rsidR="00E94CFB">
        <w:rPr>
          <w:color w:val="252525"/>
          <w:szCs w:val="24"/>
        </w:rPr>
        <w:t>,</w:t>
      </w:r>
      <w:r w:rsidR="001D1C02">
        <w:rPr>
          <w:color w:val="252525"/>
          <w:szCs w:val="24"/>
        </w:rPr>
        <w:t xml:space="preserve"> a written agreement was not established until after the work was created.    </w:t>
      </w:r>
      <w:r w:rsidR="00A71807">
        <w:rPr>
          <w:color w:val="252525"/>
          <w:szCs w:val="24"/>
        </w:rPr>
        <w:t>As the facts in the two cases align, this Court should accept the Seventh Circuit ruling as persuasive authority.</w:t>
      </w:r>
    </w:p>
    <w:p w14:paraId="546772E7" w14:textId="77777777" w:rsidR="000E237F" w:rsidRPr="007D78A9" w:rsidRDefault="000E237F" w:rsidP="00BE650A">
      <w:pPr>
        <w:ind w:firstLine="720"/>
      </w:pPr>
      <w:r>
        <w:rPr>
          <w:color w:val="252525"/>
          <w:szCs w:val="24"/>
        </w:rPr>
        <w:t xml:space="preserve">The </w:t>
      </w:r>
      <w:r w:rsidR="00F53CD4">
        <w:rPr>
          <w:color w:val="252525"/>
          <w:szCs w:val="24"/>
        </w:rPr>
        <w:t>Second</w:t>
      </w:r>
      <w:r>
        <w:rPr>
          <w:color w:val="252525"/>
          <w:szCs w:val="24"/>
        </w:rPr>
        <w:t xml:space="preserve"> Circuit ruled on a case where plaintiff, a magazine publisher brought a claim against an artist’s widow seeking a declaration that it is the sole owner of copyrights to the </w:t>
      </w:r>
      <w:r>
        <w:rPr>
          <w:color w:val="252525"/>
          <w:szCs w:val="24"/>
        </w:rPr>
        <w:lastRenderedPageBreak/>
        <w:t xml:space="preserve">artist’s works.  </w:t>
      </w:r>
      <w:r>
        <w:rPr>
          <w:i/>
          <w:color w:val="252525"/>
          <w:szCs w:val="24"/>
        </w:rPr>
        <w:t xml:space="preserve">See </w:t>
      </w:r>
      <w:r>
        <w:rPr>
          <w:i/>
        </w:rPr>
        <w:t>Playboy Enters.</w:t>
      </w:r>
      <w:r w:rsidRPr="00DD4590">
        <w:rPr>
          <w:i/>
        </w:rPr>
        <w:t>, Inc. v. Dumas</w:t>
      </w:r>
      <w:r>
        <w:t>, 53 F.3d 549</w:t>
      </w:r>
      <w:r w:rsidR="00D307E1">
        <w:t xml:space="preserve">, </w:t>
      </w:r>
      <w:r w:rsidR="00F53CD4">
        <w:t>552</w:t>
      </w:r>
      <w:r>
        <w:t xml:space="preserve"> </w:t>
      </w:r>
      <w:r w:rsidRPr="00DD4590">
        <w:t>(2d Cir. 1995)</w:t>
      </w:r>
      <w:r>
        <w:t xml:space="preserve">.  The plaintiff paid decedent with checks upon which a legend was printed as a potential work for hire agreement.  </w:t>
      </w:r>
      <w:r>
        <w:rPr>
          <w:i/>
        </w:rPr>
        <w:t>Id.</w:t>
      </w:r>
      <w:r>
        <w:t xml:space="preserve">  T</w:t>
      </w:r>
      <w:r w:rsidR="00A71807">
        <w:t>he c</w:t>
      </w:r>
      <w:r>
        <w:t xml:space="preserve">ourt held that those legends which contained work made for hire language sufficient to meet the requirements of the Act, would be sufficient to fulfill the requirement if the plaintiff is able to show that the parties had a previous understanding that the work was made for hire.  </w:t>
      </w:r>
      <w:proofErr w:type="gramStart"/>
      <w:r>
        <w:rPr>
          <w:i/>
        </w:rPr>
        <w:t xml:space="preserve">Id. </w:t>
      </w:r>
      <w:r w:rsidR="00A71807">
        <w:t>at 560.</w:t>
      </w:r>
      <w:proofErr w:type="gramEnd"/>
      <w:r w:rsidR="00A71807">
        <w:t xml:space="preserve">  The court further</w:t>
      </w:r>
      <w:r>
        <w:t xml:space="preserve"> specified that “[</w:t>
      </w:r>
      <w:proofErr w:type="spellStart"/>
      <w:r>
        <w:t>i</w:t>
      </w:r>
      <w:proofErr w:type="spellEnd"/>
      <w:r>
        <w:t xml:space="preserve">]n the fact pattern of </w:t>
      </w:r>
      <w:r w:rsidRPr="00A71807">
        <w:rPr>
          <w:i/>
        </w:rPr>
        <w:t>this</w:t>
      </w:r>
      <w:r>
        <w:t xml:space="preserve"> case, we will assume that the writing requirement of § 101(2) can be met by a writing executed after the work is created, if the writing confirms a prior agreement, either explicit or implicit, made before the creation of the work.”  </w:t>
      </w:r>
      <w:r>
        <w:rPr>
          <w:i/>
        </w:rPr>
        <w:t xml:space="preserve">Id. </w:t>
      </w:r>
      <w:r>
        <w:t>at 559</w:t>
      </w:r>
      <w:r w:rsidR="00A71807">
        <w:t xml:space="preserve"> (emphasis added)</w:t>
      </w:r>
      <w:r>
        <w:t xml:space="preserve">.  The Court agreed with the argument that requiring a written agreement may frustrate parties with mutual intent that the work should be considered made for hire if the paperwork was not completed.  </w:t>
      </w:r>
      <w:r>
        <w:rPr>
          <w:i/>
        </w:rPr>
        <w:t>Id.</w:t>
      </w:r>
      <w:r>
        <w:t xml:space="preserve">  </w:t>
      </w:r>
    </w:p>
    <w:p w14:paraId="1FAFF1CB" w14:textId="77777777" w:rsidR="000E237F" w:rsidRDefault="000E237F" w:rsidP="00A45876">
      <w:pPr>
        <w:ind w:firstLine="720"/>
      </w:pPr>
      <w:r>
        <w:t xml:space="preserve">The </w:t>
      </w:r>
      <w:r w:rsidR="00F53CD4">
        <w:t>Second</w:t>
      </w:r>
      <w:r>
        <w:t xml:space="preserve"> Circuit holding and facts in </w:t>
      </w:r>
      <w:r>
        <w:rPr>
          <w:i/>
        </w:rPr>
        <w:t xml:space="preserve">Playboy </w:t>
      </w:r>
      <w:r>
        <w:t xml:space="preserve">can be easily distinguished from the instant case. In fact, </w:t>
      </w:r>
      <w:r w:rsidR="00F53CD4">
        <w:t>t</w:t>
      </w:r>
      <w:r w:rsidR="007D78A9">
        <w:t>he</w:t>
      </w:r>
      <w:r w:rsidR="00A71807">
        <w:t xml:space="preserve"> c</w:t>
      </w:r>
      <w:r>
        <w:t xml:space="preserve">ourt specified that the allowance for the writing agreement to confirm a prior agreement was limited to the fact pattern of that case.  </w:t>
      </w:r>
      <w:r>
        <w:rPr>
          <w:i/>
        </w:rPr>
        <w:t>Id.</w:t>
      </w:r>
      <w:r>
        <w:t xml:space="preserve">  The parties in </w:t>
      </w:r>
      <w:r>
        <w:rPr>
          <w:i/>
        </w:rPr>
        <w:t>Playboy</w:t>
      </w:r>
      <w:r>
        <w:t xml:space="preserve"> had a business relationship that lasted several years, </w:t>
      </w:r>
      <w:r w:rsidRPr="00486750">
        <w:t>while</w:t>
      </w:r>
      <w:r>
        <w:t xml:space="preserve"> in the instant case the parties had </w:t>
      </w:r>
      <w:r w:rsidR="003C0E6A">
        <w:t xml:space="preserve">no prior working relationship.  </w:t>
      </w:r>
      <w:r w:rsidR="003C0E6A">
        <w:rPr>
          <w:i/>
        </w:rPr>
        <w:t xml:space="preserve">Id. </w:t>
      </w:r>
      <w:r w:rsidR="003C0E6A">
        <w:t>at 552; Compl. ¶ 11.</w:t>
      </w:r>
      <w:r>
        <w:t xml:space="preserve">  Furthermore, the parties in </w:t>
      </w:r>
      <w:r>
        <w:rPr>
          <w:i/>
        </w:rPr>
        <w:t>Playboy</w:t>
      </w:r>
      <w:r>
        <w:t xml:space="preserve"> had a series of writings throughout the relationship, both preceding and succeeding the creation of works, while in the instant case the sole written agreement came after the screenplay was established.</w:t>
      </w:r>
      <w:r w:rsidRPr="00A45876">
        <w:t xml:space="preserve"> </w:t>
      </w:r>
      <w:proofErr w:type="gramStart"/>
      <w:r w:rsidR="003C0E6A" w:rsidRPr="003C0E6A">
        <w:rPr>
          <w:i/>
        </w:rPr>
        <w:t>Playboy</w:t>
      </w:r>
      <w:r w:rsidR="003C0E6A">
        <w:t xml:space="preserve">, 53 F.3d at 552; </w:t>
      </w:r>
      <w:r w:rsidR="00A71807" w:rsidRPr="006858D6">
        <w:t>Compl.</w:t>
      </w:r>
      <w:proofErr w:type="gramEnd"/>
      <w:r w:rsidR="00A71807">
        <w:t xml:space="preserve"> ¶ </w:t>
      </w:r>
      <w:r w:rsidR="003C0E6A">
        <w:t>24.</w:t>
      </w:r>
    </w:p>
    <w:p w14:paraId="3BDBC579" w14:textId="77777777" w:rsidR="004A7513" w:rsidRDefault="004A7513" w:rsidP="00A45876">
      <w:pPr>
        <w:ind w:firstLine="720"/>
        <w:rPr>
          <w:szCs w:val="24"/>
        </w:rPr>
      </w:pPr>
      <w:r>
        <w:t>Plaintiff cites</w:t>
      </w:r>
      <w:r w:rsidR="00F640C6" w:rsidRPr="00F640C6">
        <w:rPr>
          <w:bCs/>
          <w:i/>
          <w:szCs w:val="24"/>
        </w:rPr>
        <w:t xml:space="preserve"> </w:t>
      </w:r>
      <w:r w:rsidR="006858D6">
        <w:rPr>
          <w:bCs/>
          <w:i/>
          <w:szCs w:val="24"/>
        </w:rPr>
        <w:t>TMTV, Corp. v. Mass Prod</w:t>
      </w:r>
      <w:r w:rsidR="00F640C6" w:rsidRPr="009236E3">
        <w:rPr>
          <w:bCs/>
          <w:i/>
          <w:szCs w:val="24"/>
        </w:rPr>
        <w:t>s</w:t>
      </w:r>
      <w:r w:rsidR="006858D6">
        <w:rPr>
          <w:bCs/>
          <w:i/>
          <w:szCs w:val="24"/>
        </w:rPr>
        <w:t>.</w:t>
      </w:r>
      <w:r w:rsidR="00F640C6">
        <w:rPr>
          <w:bCs/>
          <w:i/>
          <w:szCs w:val="24"/>
        </w:rPr>
        <w:t xml:space="preserve">, Inc., </w:t>
      </w:r>
      <w:r w:rsidR="00F640C6" w:rsidRPr="009A692C">
        <w:rPr>
          <w:szCs w:val="24"/>
        </w:rPr>
        <w:t>645 F.3d 464</w:t>
      </w:r>
      <w:r w:rsidR="00F640C6">
        <w:rPr>
          <w:szCs w:val="24"/>
        </w:rPr>
        <w:t xml:space="preserve">, </w:t>
      </w:r>
      <w:r w:rsidR="00F640C6" w:rsidRPr="004A7513">
        <w:rPr>
          <w:rFonts w:eastAsia="Times New Roman"/>
          <w:szCs w:val="24"/>
        </w:rPr>
        <w:t>(1st Cir. 2011)</w:t>
      </w:r>
      <w:r w:rsidR="00F640C6">
        <w:rPr>
          <w:rFonts w:eastAsia="Times New Roman"/>
          <w:szCs w:val="24"/>
        </w:rPr>
        <w:t>,</w:t>
      </w:r>
      <w:r w:rsidR="00F640C6">
        <w:t xml:space="preserve"> </w:t>
      </w:r>
      <w:r>
        <w:t>to support his argument</w:t>
      </w:r>
      <w:r>
        <w:rPr>
          <w:bCs/>
          <w:szCs w:val="24"/>
        </w:rPr>
        <w:t xml:space="preserve">.  </w:t>
      </w:r>
      <w:r w:rsidR="00F640C6">
        <w:rPr>
          <w:bCs/>
          <w:szCs w:val="24"/>
        </w:rPr>
        <w:t xml:space="preserve">Pl.’s Br. 9.  </w:t>
      </w:r>
      <w:r>
        <w:rPr>
          <w:szCs w:val="24"/>
        </w:rPr>
        <w:t xml:space="preserve">Though the court acknowledged the circuit split, it did not make a decision on when a work made for hire agreement is required.  </w:t>
      </w:r>
      <w:proofErr w:type="gramStart"/>
      <w:r w:rsidR="00F640C6">
        <w:rPr>
          <w:i/>
          <w:szCs w:val="24"/>
        </w:rPr>
        <w:t xml:space="preserve">TMTV, </w:t>
      </w:r>
      <w:r w:rsidR="00F640C6">
        <w:rPr>
          <w:szCs w:val="24"/>
        </w:rPr>
        <w:t xml:space="preserve">645 F.3d at </w:t>
      </w:r>
      <w:r>
        <w:rPr>
          <w:szCs w:val="24"/>
        </w:rPr>
        <w:t>470.</w:t>
      </w:r>
      <w:proofErr w:type="gramEnd"/>
      <w:r>
        <w:rPr>
          <w:szCs w:val="24"/>
        </w:rPr>
        <w:t xml:space="preserve">  The court instead assumed that authorship rights remained with the scriptwriters and </w:t>
      </w:r>
      <w:r w:rsidR="005623F0">
        <w:rPr>
          <w:szCs w:val="24"/>
        </w:rPr>
        <w:t xml:space="preserve">that </w:t>
      </w:r>
      <w:r>
        <w:rPr>
          <w:szCs w:val="24"/>
        </w:rPr>
        <w:t xml:space="preserve">the </w:t>
      </w:r>
      <w:r>
        <w:rPr>
          <w:szCs w:val="24"/>
        </w:rPr>
        <w:lastRenderedPageBreak/>
        <w:t xml:space="preserve">subsequent writing </w:t>
      </w:r>
      <w:r w:rsidR="00DC6868">
        <w:rPr>
          <w:szCs w:val="24"/>
        </w:rPr>
        <w:t xml:space="preserve">constituted an ownership transfer agreement.  </w:t>
      </w:r>
      <w:r w:rsidR="00DC6868">
        <w:rPr>
          <w:i/>
          <w:szCs w:val="24"/>
        </w:rPr>
        <w:t xml:space="preserve">Id. </w:t>
      </w:r>
      <w:r w:rsidR="00DC6868">
        <w:rPr>
          <w:szCs w:val="24"/>
        </w:rPr>
        <w:t xml:space="preserve">This is distinguishable from the instant case because the writing signed by Lime </w:t>
      </w:r>
      <w:r w:rsidR="005623F0">
        <w:rPr>
          <w:szCs w:val="24"/>
        </w:rPr>
        <w:t xml:space="preserve">was titled a </w:t>
      </w:r>
      <w:r w:rsidR="00DC6868" w:rsidRPr="00BE650A">
        <w:rPr>
          <w:szCs w:val="24"/>
        </w:rPr>
        <w:t>“W</w:t>
      </w:r>
      <w:r w:rsidR="006858D6">
        <w:rPr>
          <w:szCs w:val="24"/>
        </w:rPr>
        <w:t>ork-Made-For-Hire Agreement.”  C</w:t>
      </w:r>
      <w:r w:rsidR="00DC6868" w:rsidRPr="00BE650A">
        <w:rPr>
          <w:szCs w:val="24"/>
        </w:rPr>
        <w:t>omp</w:t>
      </w:r>
      <w:r w:rsidR="006858D6">
        <w:rPr>
          <w:szCs w:val="24"/>
        </w:rPr>
        <w:t>l. ¶ 24-25.</w:t>
      </w:r>
      <w:r w:rsidR="00DC6868">
        <w:rPr>
          <w:szCs w:val="24"/>
        </w:rPr>
        <w:t xml:space="preserve">  </w:t>
      </w:r>
      <w:r w:rsidR="001374F0">
        <w:rPr>
          <w:szCs w:val="24"/>
        </w:rPr>
        <w:t xml:space="preserve">The Act requires a transfer to occur through “an instrument of conveyance, or a note or memorandum of the transfer.”  </w:t>
      </w:r>
      <w:proofErr w:type="gramStart"/>
      <w:r w:rsidR="001374F0">
        <w:rPr>
          <w:szCs w:val="24"/>
        </w:rPr>
        <w:t>17 U.S.C. § 204 (a).</w:t>
      </w:r>
      <w:proofErr w:type="gramEnd"/>
      <w:r w:rsidR="001374F0">
        <w:rPr>
          <w:szCs w:val="24"/>
        </w:rPr>
        <w:t xml:space="preserve">  A work made for hire agreement does not fit under either of these two requirements.  </w:t>
      </w:r>
      <w:r w:rsidR="00DC6868">
        <w:rPr>
          <w:szCs w:val="24"/>
        </w:rPr>
        <w:t xml:space="preserve">Consequently, it would be an error for this Court to </w:t>
      </w:r>
      <w:r w:rsidR="009048F0">
        <w:rPr>
          <w:szCs w:val="24"/>
        </w:rPr>
        <w:t xml:space="preserve">assume that the </w:t>
      </w:r>
      <w:r w:rsidR="001374F0">
        <w:rPr>
          <w:szCs w:val="24"/>
        </w:rPr>
        <w:t xml:space="preserve">work made for hire </w:t>
      </w:r>
      <w:r w:rsidR="009048F0">
        <w:rPr>
          <w:szCs w:val="24"/>
        </w:rPr>
        <w:t xml:space="preserve">writing constituted an ownership transfer agreement.  </w:t>
      </w:r>
    </w:p>
    <w:p w14:paraId="79338CCB" w14:textId="77777777" w:rsidR="00C8046A" w:rsidRDefault="00582509" w:rsidP="00C8046A">
      <w:pPr>
        <w:ind w:firstLine="720"/>
        <w:rPr>
          <w:rFonts w:eastAsia="Times New Roman"/>
          <w:szCs w:val="24"/>
        </w:rPr>
      </w:pPr>
      <w:r>
        <w:rPr>
          <w:szCs w:val="24"/>
        </w:rPr>
        <w:t xml:space="preserve">Plaintiff further cites </w:t>
      </w:r>
      <w:r w:rsidR="00F640C6" w:rsidRPr="00AD6D7E">
        <w:rPr>
          <w:rFonts w:eastAsia="Times New Roman"/>
          <w:i/>
          <w:szCs w:val="24"/>
        </w:rPr>
        <w:t xml:space="preserve">Compaq Computer Corp. v. </w:t>
      </w:r>
      <w:proofErr w:type="spellStart"/>
      <w:r w:rsidR="00F640C6" w:rsidRPr="00AD6D7E">
        <w:rPr>
          <w:rFonts w:eastAsia="Times New Roman"/>
          <w:i/>
          <w:szCs w:val="24"/>
        </w:rPr>
        <w:t>Ergonome</w:t>
      </w:r>
      <w:proofErr w:type="spellEnd"/>
      <w:r w:rsidR="00F640C6" w:rsidRPr="00AD6D7E">
        <w:rPr>
          <w:rFonts w:eastAsia="Times New Roman"/>
          <w:i/>
          <w:szCs w:val="24"/>
        </w:rPr>
        <w:t xml:space="preserve"> Inc.</w:t>
      </w:r>
      <w:r w:rsidR="00F640C6" w:rsidRPr="00AD6D7E">
        <w:rPr>
          <w:rFonts w:eastAsia="Times New Roman"/>
          <w:szCs w:val="24"/>
        </w:rPr>
        <w:t>, 210 F. Supp. 2d 839 (S.D. Tex. 2001)</w:t>
      </w:r>
      <w:r>
        <w:rPr>
          <w:szCs w:val="24"/>
        </w:rPr>
        <w:t xml:space="preserve"> </w:t>
      </w:r>
      <w:r w:rsidR="00AD6D7E">
        <w:rPr>
          <w:szCs w:val="24"/>
        </w:rPr>
        <w:t xml:space="preserve">to support his argument.  </w:t>
      </w:r>
      <w:r w:rsidR="00F640C6">
        <w:rPr>
          <w:szCs w:val="24"/>
        </w:rPr>
        <w:t>Pl.’s Br. 10.</w:t>
      </w:r>
      <w:r w:rsidR="009C1D15">
        <w:rPr>
          <w:rFonts w:eastAsia="Times New Roman"/>
          <w:szCs w:val="24"/>
        </w:rPr>
        <w:t xml:space="preserve">  The </w:t>
      </w:r>
      <w:r w:rsidR="00F640C6">
        <w:rPr>
          <w:rFonts w:eastAsia="Times New Roman"/>
          <w:szCs w:val="24"/>
        </w:rPr>
        <w:t xml:space="preserve">Southern District of Texas </w:t>
      </w:r>
      <w:r w:rsidR="00E1136E">
        <w:rPr>
          <w:rFonts w:eastAsia="Times New Roman"/>
          <w:szCs w:val="24"/>
        </w:rPr>
        <w:t xml:space="preserve">is bound by </w:t>
      </w:r>
      <w:r w:rsidR="00E1136E" w:rsidRPr="000E039B">
        <w:rPr>
          <w:rFonts w:eastAsia="Times New Roman"/>
          <w:i/>
          <w:szCs w:val="24"/>
        </w:rPr>
        <w:t xml:space="preserve">stare </w:t>
      </w:r>
      <w:proofErr w:type="spellStart"/>
      <w:r w:rsidR="00E1136E" w:rsidRPr="000E039B">
        <w:rPr>
          <w:rFonts w:eastAsia="Times New Roman"/>
          <w:i/>
          <w:szCs w:val="24"/>
        </w:rPr>
        <w:t>decisis</w:t>
      </w:r>
      <w:proofErr w:type="spellEnd"/>
      <w:r w:rsidR="00E1136E">
        <w:rPr>
          <w:rFonts w:eastAsia="Times New Roman"/>
          <w:szCs w:val="24"/>
        </w:rPr>
        <w:t xml:space="preserve"> to follow </w:t>
      </w:r>
      <w:r w:rsidR="006858D6">
        <w:rPr>
          <w:rFonts w:eastAsia="Times New Roman"/>
          <w:szCs w:val="24"/>
        </w:rPr>
        <w:t xml:space="preserve">the </w:t>
      </w:r>
      <w:r w:rsidR="00E1136E">
        <w:rPr>
          <w:rFonts w:eastAsia="Times New Roman"/>
          <w:szCs w:val="24"/>
        </w:rPr>
        <w:t xml:space="preserve">Fifth Circuit holding that </w:t>
      </w:r>
      <w:r w:rsidR="000E039B">
        <w:rPr>
          <w:szCs w:val="24"/>
        </w:rPr>
        <w:t>the Second Circuit is “</w:t>
      </w:r>
      <w:r w:rsidR="000E039B" w:rsidRPr="000E039B">
        <w:rPr>
          <w:rFonts w:eastAsia="Times New Roman"/>
          <w:szCs w:val="24"/>
        </w:rPr>
        <w:t xml:space="preserve">the </w:t>
      </w:r>
      <w:r w:rsidR="000E039B" w:rsidRPr="000E039B">
        <w:rPr>
          <w:rFonts w:eastAsia="Times New Roman"/>
          <w:i/>
          <w:iCs/>
          <w:szCs w:val="24"/>
        </w:rPr>
        <w:t>de facto</w:t>
      </w:r>
      <w:r w:rsidR="000E039B" w:rsidRPr="000E039B">
        <w:rPr>
          <w:rFonts w:eastAsia="Times New Roman"/>
          <w:szCs w:val="24"/>
        </w:rPr>
        <w:t xml:space="preserve"> Copyright Court of the United States</w:t>
      </w:r>
      <w:r w:rsidR="000E039B">
        <w:rPr>
          <w:rFonts w:eastAsia="Times New Roman"/>
          <w:szCs w:val="24"/>
        </w:rPr>
        <w:t xml:space="preserve">.” </w:t>
      </w:r>
      <w:r w:rsidR="000E039B" w:rsidRPr="000E039B">
        <w:rPr>
          <w:rFonts w:eastAsia="Times New Roman"/>
          <w:i/>
          <w:szCs w:val="24"/>
        </w:rPr>
        <w:t>Easter Seal Soc. for Cripple</w:t>
      </w:r>
      <w:r w:rsidR="000E039B">
        <w:rPr>
          <w:rFonts w:eastAsia="Times New Roman"/>
          <w:i/>
          <w:szCs w:val="24"/>
        </w:rPr>
        <w:t>d Children &amp; Adults of La., Inc. v. Playboy Enter</w:t>
      </w:r>
      <w:r w:rsidR="000E039B" w:rsidRPr="000E039B">
        <w:rPr>
          <w:rFonts w:eastAsia="Times New Roman"/>
          <w:i/>
          <w:szCs w:val="24"/>
        </w:rPr>
        <w:t>s</w:t>
      </w:r>
      <w:proofErr w:type="gramStart"/>
      <w:r w:rsidR="000E039B">
        <w:rPr>
          <w:rFonts w:eastAsia="Times New Roman"/>
          <w:i/>
          <w:szCs w:val="24"/>
        </w:rPr>
        <w:t>.</w:t>
      </w:r>
      <w:r w:rsidR="000E039B" w:rsidRPr="000E039B">
        <w:rPr>
          <w:rFonts w:eastAsia="Times New Roman"/>
          <w:szCs w:val="24"/>
        </w:rPr>
        <w:t>,</w:t>
      </w:r>
      <w:proofErr w:type="gramEnd"/>
      <w:r w:rsidR="000E039B" w:rsidRPr="000E039B">
        <w:rPr>
          <w:rFonts w:eastAsia="Times New Roman"/>
          <w:szCs w:val="24"/>
        </w:rPr>
        <w:t xml:space="preserve"> 815 F.2d 323, 325 (5th Cir. 1987)</w:t>
      </w:r>
      <w:r w:rsidR="000E039B">
        <w:rPr>
          <w:rFonts w:eastAsia="Times New Roman"/>
          <w:szCs w:val="24"/>
        </w:rPr>
        <w:t xml:space="preserve">.  </w:t>
      </w:r>
      <w:r w:rsidR="00BF2058">
        <w:rPr>
          <w:rFonts w:eastAsia="Times New Roman"/>
          <w:szCs w:val="24"/>
        </w:rPr>
        <w:t>Consequently t</w:t>
      </w:r>
      <w:r w:rsidR="000E039B">
        <w:rPr>
          <w:rFonts w:eastAsia="Times New Roman"/>
          <w:szCs w:val="24"/>
        </w:rPr>
        <w:t xml:space="preserve">he </w:t>
      </w:r>
      <w:r w:rsidR="00BF2058">
        <w:rPr>
          <w:rFonts w:eastAsia="Times New Roman"/>
          <w:i/>
          <w:szCs w:val="24"/>
        </w:rPr>
        <w:t xml:space="preserve">Compaq </w:t>
      </w:r>
      <w:r w:rsidR="000E039B">
        <w:rPr>
          <w:rFonts w:eastAsia="Times New Roman"/>
          <w:szCs w:val="24"/>
        </w:rPr>
        <w:t xml:space="preserve">court, as bound, followed the Second Circuit’s holding in </w:t>
      </w:r>
      <w:r w:rsidR="000E039B">
        <w:rPr>
          <w:rFonts w:eastAsia="Times New Roman"/>
          <w:i/>
          <w:szCs w:val="24"/>
        </w:rPr>
        <w:t>Playboy</w:t>
      </w:r>
      <w:r w:rsidR="00BF2058">
        <w:rPr>
          <w:rFonts w:eastAsia="Times New Roman"/>
          <w:i/>
          <w:szCs w:val="24"/>
        </w:rPr>
        <w:t xml:space="preserve"> </w:t>
      </w:r>
      <w:r w:rsidR="00BF2058">
        <w:rPr>
          <w:rFonts w:eastAsia="Times New Roman"/>
          <w:szCs w:val="24"/>
        </w:rPr>
        <w:t xml:space="preserve">when holding that a work made for hire agreement signed after the creation of work was sufficient to meet the requirements of the Act.  </w:t>
      </w:r>
      <w:r w:rsidR="00BF2058">
        <w:rPr>
          <w:rFonts w:eastAsia="Times New Roman"/>
          <w:i/>
          <w:szCs w:val="24"/>
        </w:rPr>
        <w:t xml:space="preserve">See Compaq, </w:t>
      </w:r>
      <w:r w:rsidR="00BF2058">
        <w:rPr>
          <w:rFonts w:eastAsia="Times New Roman"/>
          <w:szCs w:val="24"/>
        </w:rPr>
        <w:t xml:space="preserve">210 F. Supp. 2d at 844; </w:t>
      </w:r>
      <w:r w:rsidR="00BF2058">
        <w:rPr>
          <w:rFonts w:eastAsia="Times New Roman"/>
          <w:i/>
          <w:szCs w:val="24"/>
        </w:rPr>
        <w:t>see also Playboy</w:t>
      </w:r>
      <w:r w:rsidR="00C8046A">
        <w:rPr>
          <w:rFonts w:eastAsia="Times New Roman"/>
          <w:szCs w:val="24"/>
        </w:rPr>
        <w:t>,</w:t>
      </w:r>
      <w:r w:rsidR="00BF2058">
        <w:rPr>
          <w:rFonts w:eastAsia="Times New Roman"/>
          <w:szCs w:val="24"/>
        </w:rPr>
        <w:t xml:space="preserve"> </w:t>
      </w:r>
      <w:r w:rsidR="00BF2058">
        <w:t xml:space="preserve">53 F.3d 549. </w:t>
      </w:r>
      <w:r w:rsidR="00371339">
        <w:t xml:space="preserve">  </w:t>
      </w:r>
      <w:r w:rsidR="00C8046A">
        <w:t xml:space="preserve">The court did not reach this decision after analysis of the facts, but solely based on </w:t>
      </w:r>
      <w:r w:rsidR="00C8046A">
        <w:rPr>
          <w:i/>
        </w:rPr>
        <w:t xml:space="preserve">stare </w:t>
      </w:r>
      <w:proofErr w:type="spellStart"/>
      <w:r w:rsidR="00C8046A" w:rsidRPr="00C8046A">
        <w:rPr>
          <w:i/>
        </w:rPr>
        <w:t>decisis</w:t>
      </w:r>
      <w:proofErr w:type="spellEnd"/>
      <w:r w:rsidR="00C8046A">
        <w:t>.</w:t>
      </w:r>
      <w:r w:rsidR="00C8046A">
        <w:rPr>
          <w:i/>
        </w:rPr>
        <w:t xml:space="preserve"> </w:t>
      </w:r>
      <w:r w:rsidR="00C8046A" w:rsidRPr="00C8046A">
        <w:t>For</w:t>
      </w:r>
      <w:r w:rsidR="00C8046A">
        <w:t xml:space="preserve"> this reason, this Court should not look to the Southern District of Texas ruling as persuasive precedent.  </w:t>
      </w:r>
    </w:p>
    <w:p w14:paraId="49AD3FC8" w14:textId="77777777" w:rsidR="000E237F" w:rsidRPr="00C8046A" w:rsidRDefault="004A7513" w:rsidP="00C8046A">
      <w:pPr>
        <w:ind w:firstLine="720"/>
        <w:rPr>
          <w:szCs w:val="24"/>
        </w:rPr>
      </w:pPr>
      <w:r>
        <w:t xml:space="preserve">As the facts from in </w:t>
      </w:r>
      <w:r>
        <w:rPr>
          <w:i/>
        </w:rPr>
        <w:t xml:space="preserve">Schiller </w:t>
      </w:r>
      <w:r>
        <w:t>can be reconciled with the instant case, and</w:t>
      </w:r>
      <w:r w:rsidR="000E237F">
        <w:t xml:space="preserve"> the </w:t>
      </w:r>
      <w:r>
        <w:t xml:space="preserve">facts from </w:t>
      </w:r>
      <w:r>
        <w:rPr>
          <w:i/>
        </w:rPr>
        <w:t>Playboy</w:t>
      </w:r>
      <w:r w:rsidR="000E237F">
        <w:t xml:space="preserve"> can be distinguished, the Court should find the </w:t>
      </w:r>
      <w:r w:rsidR="006858D6">
        <w:rPr>
          <w:i/>
        </w:rPr>
        <w:t>Schiller</w:t>
      </w:r>
      <w:r w:rsidR="000E237F">
        <w:t xml:space="preserve"> holding persuasive.  </w:t>
      </w:r>
      <w:proofErr w:type="gramStart"/>
      <w:r w:rsidR="006858D6">
        <w:rPr>
          <w:i/>
        </w:rPr>
        <w:t xml:space="preserve">Schiller, </w:t>
      </w:r>
      <w:r w:rsidR="006858D6">
        <w:t xml:space="preserve">969 F.2d 410; </w:t>
      </w:r>
      <w:r w:rsidR="006858D6">
        <w:rPr>
          <w:i/>
        </w:rPr>
        <w:t>Playboy</w:t>
      </w:r>
      <w:r w:rsidR="006858D6" w:rsidRPr="006858D6">
        <w:t xml:space="preserve">, </w:t>
      </w:r>
      <w:r w:rsidR="006858D6">
        <w:t>53 F.3d 549.</w:t>
      </w:r>
      <w:proofErr w:type="gramEnd"/>
      <w:r w:rsidR="006858D6">
        <w:t xml:space="preserve">  </w:t>
      </w:r>
      <w:r w:rsidR="00C8046A">
        <w:rPr>
          <w:szCs w:val="24"/>
        </w:rPr>
        <w:t>Defendants’ Motion should be granted because the persuasive precedent requires that the signed work made for hire agreement be executed before work creation.</w:t>
      </w:r>
    </w:p>
    <w:p w14:paraId="1674B533" w14:textId="77777777" w:rsidR="00252DBA" w:rsidRDefault="00252DBA" w:rsidP="00BE650A">
      <w:pPr>
        <w:ind w:firstLine="720"/>
        <w:rPr>
          <w:b/>
        </w:rPr>
      </w:pPr>
    </w:p>
    <w:p w14:paraId="16581B54" w14:textId="77777777" w:rsidR="000E237F" w:rsidRPr="00A45876" w:rsidRDefault="000E237F" w:rsidP="00BE650A">
      <w:pPr>
        <w:ind w:firstLine="720"/>
        <w:rPr>
          <w:b/>
        </w:rPr>
      </w:pPr>
      <w:r>
        <w:rPr>
          <w:b/>
        </w:rPr>
        <w:lastRenderedPageBreak/>
        <w:t>D.  Policy Mandates Dismissal of Plaintiff’s Claim</w:t>
      </w:r>
    </w:p>
    <w:p w14:paraId="4D1D2907" w14:textId="77777777" w:rsidR="00807A65" w:rsidRDefault="00FF5457" w:rsidP="00197133">
      <w:pPr>
        <w:ind w:firstLine="720"/>
      </w:pPr>
      <w:r>
        <w:t xml:space="preserve">Policy requires a signed written agreement prior to work creation if the work is to be considered made for hire.  </w:t>
      </w:r>
      <w:r w:rsidR="003C4FDB">
        <w:t>The Supreme Court has stated that “</w:t>
      </w:r>
      <w:r w:rsidR="003C4FDB" w:rsidRPr="003C4FDB">
        <w:rPr>
          <w:rFonts w:eastAsia="Times New Roman"/>
          <w:szCs w:val="24"/>
        </w:rPr>
        <w:t>Congress' paramount goal in revising the 1976 Act of enhancing predictability and certainty of copyright ownership.</w:t>
      </w:r>
      <w:r w:rsidR="003C4FDB">
        <w:rPr>
          <w:rFonts w:eastAsia="Times New Roman"/>
          <w:szCs w:val="24"/>
        </w:rPr>
        <w:t xml:space="preserve">” </w:t>
      </w:r>
      <w:proofErr w:type="spellStart"/>
      <w:r w:rsidR="003C4FDB" w:rsidRPr="003C4FDB">
        <w:rPr>
          <w:rFonts w:eastAsia="Times New Roman"/>
          <w:i/>
          <w:szCs w:val="24"/>
        </w:rPr>
        <w:t>Cmty</w:t>
      </w:r>
      <w:proofErr w:type="spellEnd"/>
      <w:r w:rsidR="003C4FDB" w:rsidRPr="003C4FDB">
        <w:rPr>
          <w:rFonts w:eastAsia="Times New Roman"/>
          <w:i/>
          <w:szCs w:val="24"/>
        </w:rPr>
        <w:t>. for Creative Non-Violence v. Reid</w:t>
      </w:r>
      <w:r w:rsidR="003C4FDB" w:rsidRPr="003C4FDB">
        <w:rPr>
          <w:rFonts w:eastAsia="Times New Roman"/>
          <w:szCs w:val="24"/>
        </w:rPr>
        <w:t>, 490 U.S. 730, 749, (1989)</w:t>
      </w:r>
      <w:r w:rsidR="003C4FDB">
        <w:rPr>
          <w:rFonts w:eastAsia="Times New Roman"/>
          <w:szCs w:val="24"/>
        </w:rPr>
        <w:t xml:space="preserve">.  </w:t>
      </w:r>
      <w:r w:rsidR="000E237F">
        <w:t xml:space="preserve">A signed written agreement preceding work creation allows a court to </w:t>
      </w:r>
      <w:r w:rsidR="003C4FDB">
        <w:t xml:space="preserve">predictably </w:t>
      </w:r>
      <w:r w:rsidR="000E237F">
        <w:t xml:space="preserve">determine with certainty that both parties actually assented to a work made for hire agreement.  </w:t>
      </w:r>
      <w:r w:rsidR="009D497F">
        <w:t>N</w:t>
      </w:r>
      <w:r w:rsidR="003C4FDB">
        <w:t xml:space="preserve">o question </w:t>
      </w:r>
      <w:r w:rsidR="006858D6">
        <w:t>would remain</w:t>
      </w:r>
      <w:r w:rsidR="003C4FDB">
        <w:t xml:space="preserve"> as to the intent of the parties.  </w:t>
      </w:r>
      <w:r w:rsidR="009D497F">
        <w:t>Alternatively, t</w:t>
      </w:r>
      <w:r w:rsidR="003C4FDB">
        <w:t>he parties’ initial intent</w:t>
      </w:r>
      <w:r w:rsidR="009D497F">
        <w:t>ion</w:t>
      </w:r>
      <w:r w:rsidR="006858D6">
        <w:t>s would be</w:t>
      </w:r>
      <w:r w:rsidR="003C4FDB">
        <w:t xml:space="preserve"> uncertain if written agreements are allowed to be established after the creation of the work.  </w:t>
      </w:r>
    </w:p>
    <w:p w14:paraId="72BBBE44" w14:textId="77777777" w:rsidR="000E237F" w:rsidRPr="00197133" w:rsidRDefault="00FA140C" w:rsidP="00197133">
      <w:pPr>
        <w:ind w:firstLine="720"/>
      </w:pPr>
      <w:r>
        <w:t>If a</w:t>
      </w:r>
      <w:r w:rsidR="009D497F">
        <w:t xml:space="preserve"> court </w:t>
      </w:r>
      <w:r w:rsidR="007F24D3">
        <w:t>a</w:t>
      </w:r>
      <w:r>
        <w:t>llowed</w:t>
      </w:r>
      <w:r w:rsidR="00C4592E">
        <w:t xml:space="preserve"> a written agreement to validate an earlier oral ag</w:t>
      </w:r>
      <w:r>
        <w:t xml:space="preserve">reement, as Plaintiff requests, </w:t>
      </w:r>
      <w:r w:rsidR="008A3FAC">
        <w:t xml:space="preserve">the court </w:t>
      </w:r>
      <w:r>
        <w:t xml:space="preserve">would be required </w:t>
      </w:r>
      <w:r w:rsidR="008A3FAC">
        <w:t>to determine with parole evidence if there was in fact an oral agreement in place</w:t>
      </w:r>
      <w:r>
        <w:t>,</w:t>
      </w:r>
      <w:r w:rsidR="008A3FAC">
        <w:t xml:space="preserve"> and if there was mutual intent to establish a work for hire relationship</w:t>
      </w:r>
      <w:r w:rsidR="00197133">
        <w:t>.  The criteria to determine if an oral agreement was in place would be uncertain and unpredictable,</w:t>
      </w:r>
      <w:r>
        <w:t xml:space="preserve"> </w:t>
      </w:r>
      <w:r w:rsidR="00197133">
        <w:t xml:space="preserve">directly contrasting </w:t>
      </w:r>
      <w:r w:rsidR="008A3FAC">
        <w:t>Congress’ paramount goal of enhancin</w:t>
      </w:r>
      <w:r w:rsidR="00197133">
        <w:t xml:space="preserve">g predictability and certainty.  </w:t>
      </w:r>
      <w:r w:rsidR="00E53592">
        <w:t xml:space="preserve">Predictability and certainty can only be assured with a signed written agreement established before the creation of the work. </w:t>
      </w:r>
      <w:r w:rsidR="00837D09">
        <w:t xml:space="preserve"> Firmly requiring the signed written agreement to precede the creation of the work allows for a clear bright line rule that would make court rulings consistent and more efficient.</w:t>
      </w:r>
    </w:p>
    <w:p w14:paraId="277F36E8" w14:textId="77777777" w:rsidR="005F4879" w:rsidRDefault="000E237F" w:rsidP="000229B9">
      <w:pPr>
        <w:ind w:firstLine="720"/>
      </w:pPr>
      <w:r>
        <w:t>Furthermore, requiring a written agreement prior to work creation allows for clea</w:t>
      </w:r>
      <w:r w:rsidR="004A20B5">
        <w:t xml:space="preserve">r and definite ownership rights.  </w:t>
      </w:r>
      <w:r w:rsidR="000229B9">
        <w:t xml:space="preserve">This would result in less litigation about who </w:t>
      </w:r>
      <w:r w:rsidR="006858D6">
        <w:t>the owner of a copyright is, while making it</w:t>
      </w:r>
      <w:r w:rsidR="000229B9">
        <w:t xml:space="preserve"> easier transfer of </w:t>
      </w:r>
      <w:r w:rsidR="006858D6">
        <w:t>copyrigh</w:t>
      </w:r>
      <w:r w:rsidR="000229B9">
        <w:t>t</w:t>
      </w:r>
      <w:r w:rsidR="006858D6">
        <w:t xml:space="preserve"> ownership if the owner wishes to transfer</w:t>
      </w:r>
      <w:r w:rsidR="000229B9">
        <w:t xml:space="preserve"> his rights.  Alternatively, a</w:t>
      </w:r>
      <w:r>
        <w:t xml:space="preserve">llowing the agreement to come later creates uncertainty as to when the work for </w:t>
      </w:r>
      <w:r w:rsidR="006858D6">
        <w:t>hire agreement is effective, along with</w:t>
      </w:r>
      <w:r>
        <w:t xml:space="preserve"> who holds authorship and ownership in the </w:t>
      </w:r>
      <w:r>
        <w:lastRenderedPageBreak/>
        <w:t>p</w:t>
      </w:r>
      <w:r w:rsidR="005F4879">
        <w:t xml:space="preserve">eriod preceding the agreement.  </w:t>
      </w:r>
      <w:r w:rsidR="006608E0">
        <w:t>This would result in increased litigation over authorship rights, ownership rights, and transfer of ownership.  Not only does this increase the burden on the true owner of a copyright, it also increases the burden on the court system.</w:t>
      </w:r>
    </w:p>
    <w:p w14:paraId="566A3407" w14:textId="77777777" w:rsidR="009458D1" w:rsidRDefault="00807A65" w:rsidP="00B65E39">
      <w:pPr>
        <w:ind w:firstLine="720"/>
      </w:pPr>
      <w:r>
        <w:t xml:space="preserve">Plaintiff argues that dismissing this case would “hamper creative work generally.”  Pl.’s Br. 12.  Plaintiff further argues that a dismissal would diminish the rights of work commissioners, increase risk and uncertainty, and damage the relationships between a commissioner and an author.  </w:t>
      </w:r>
      <w:r>
        <w:rPr>
          <w:i/>
        </w:rPr>
        <w:t>Id.</w:t>
      </w:r>
      <w:r>
        <w:t xml:space="preserve">  </w:t>
      </w:r>
      <w:r w:rsidR="00CB4097">
        <w:t xml:space="preserve">Dismissing this case and requiring a work made for hire agreement to be executed prior to work creation would in fact have the opposite result.  Having a clear bright line rule about when the work made for hire agreement needs to be executed would increase certainty and decrease risk.  Both the author and commissioner would be aware of the requirements needed to establish a work made for hire agreement.  </w:t>
      </w:r>
      <w:r w:rsidR="003318A1">
        <w:t xml:space="preserve">The numerous benefits Plaintiff cites, </w:t>
      </w:r>
      <w:r w:rsidR="003318A1">
        <w:rPr>
          <w:i/>
        </w:rPr>
        <w:t>Id.</w:t>
      </w:r>
      <w:r w:rsidR="003318A1">
        <w:t>, would still be realized as both commissioners and authors would feel more comfortable entering into agreements</w:t>
      </w:r>
      <w:r w:rsidR="009458D1">
        <w:t xml:space="preserve"> when the result is certain</w:t>
      </w:r>
      <w:r w:rsidR="003318A1">
        <w:t>.</w:t>
      </w:r>
    </w:p>
    <w:p w14:paraId="435AD0E7" w14:textId="77777777" w:rsidR="00807A65" w:rsidRPr="009458D1" w:rsidRDefault="009458D1" w:rsidP="00B65E39">
      <w:pPr>
        <w:ind w:firstLine="720"/>
      </w:pPr>
      <w:r>
        <w:t xml:space="preserve">The policy argument accepted by the </w:t>
      </w:r>
      <w:r>
        <w:rPr>
          <w:i/>
        </w:rPr>
        <w:t>Playboy</w:t>
      </w:r>
      <w:r>
        <w:t xml:space="preserve"> court that requiring a written agreement may frustrate parties with mutual intent that the work should be considered made for hire if the paperwork was not completed can also be refuted.  </w:t>
      </w:r>
      <w:proofErr w:type="gramStart"/>
      <w:r>
        <w:rPr>
          <w:i/>
        </w:rPr>
        <w:t>Playboy</w:t>
      </w:r>
      <w:r>
        <w:t>, 53 F.3d at 559.</w:t>
      </w:r>
      <w:proofErr w:type="gramEnd"/>
      <w:r>
        <w:t xml:space="preserve">  If a clear rule is established by this Court, the mutual intent of the parties would be documented in a written agreement as required by the Act.  Furthermore, if a written work make for hire agreement was not signed prior to work creation, the burden of the result should fall on the more knowledgeable party, which is most always the commissioning party.</w:t>
      </w:r>
    </w:p>
    <w:p w14:paraId="0E0CF807" w14:textId="77777777" w:rsidR="00A81879" w:rsidRDefault="0004509A" w:rsidP="004C41B7">
      <w:pPr>
        <w:ind w:firstLine="720"/>
        <w:rPr>
          <w:b/>
        </w:rPr>
      </w:pPr>
      <w:r>
        <w:t xml:space="preserve">Though there is policy rationale supporting both sides of the issue, the policy </w:t>
      </w:r>
      <w:r w:rsidR="009458D1">
        <w:t xml:space="preserve">rationale </w:t>
      </w:r>
      <w:r>
        <w:t xml:space="preserve">more heavily weighs on the side of requiring a signed written agreement prior to the work being created.  </w:t>
      </w:r>
      <w:r w:rsidR="0030197F">
        <w:t>T</w:t>
      </w:r>
      <w:r>
        <w:t xml:space="preserve">he written agreement requirement </w:t>
      </w:r>
      <w:r w:rsidR="0030197F">
        <w:t>cannot</w:t>
      </w:r>
      <w:r>
        <w:t xml:space="preserve"> frustrate the mutual intent of parties if both </w:t>
      </w:r>
      <w:r>
        <w:lastRenderedPageBreak/>
        <w:t xml:space="preserve">parties </w:t>
      </w:r>
      <w:r w:rsidR="0030197F">
        <w:t>sign a written agreement.  T</w:t>
      </w:r>
      <w:r>
        <w:t xml:space="preserve">he requirement </w:t>
      </w:r>
      <w:r w:rsidR="00B65E39">
        <w:t xml:space="preserve">results in certainty, predictability and clear ownership rights.  </w:t>
      </w:r>
      <w:r>
        <w:t xml:space="preserve">  </w:t>
      </w:r>
      <w:r w:rsidR="00B65E39">
        <w:rPr>
          <w:szCs w:val="24"/>
        </w:rPr>
        <w:t>Defendants’ Motion should be granted because policy considerations require the signed work made for hire agreement be executed before a work is created.</w:t>
      </w:r>
    </w:p>
    <w:p w14:paraId="2293CA4F" w14:textId="77777777" w:rsidR="000E237F" w:rsidRDefault="000E237F" w:rsidP="004C41B7">
      <w:pPr>
        <w:ind w:firstLine="720"/>
        <w:rPr>
          <w:b/>
        </w:rPr>
      </w:pPr>
      <w:r>
        <w:rPr>
          <w:b/>
        </w:rPr>
        <w:t>E.  The Rule of Lenity Mandates Dismissal of Plaintiff’s Claim</w:t>
      </w:r>
    </w:p>
    <w:p w14:paraId="1AC50128" w14:textId="77777777" w:rsidR="000E237F" w:rsidRPr="00426B39" w:rsidRDefault="000E237F" w:rsidP="00426B39">
      <w:r>
        <w:rPr>
          <w:b/>
        </w:rPr>
        <w:tab/>
      </w:r>
      <w:r>
        <w:t xml:space="preserve">The rule of lenity necessitates interpreting criminal statutes in a light favorable to the accused.  Though this claim is a civil claim and not a criminal charge, the Copyright Act is in fact a criminal statute.  </w:t>
      </w:r>
      <w:r>
        <w:rPr>
          <w:i/>
        </w:rPr>
        <w:t xml:space="preserve">See </w:t>
      </w:r>
      <w:r w:rsidR="006858D6">
        <w:t>17 U.S.C. § 506</w:t>
      </w:r>
      <w:r w:rsidR="00D209B1">
        <w:t xml:space="preserve"> (describing the criminal punishment for infringing a copyright)</w:t>
      </w:r>
      <w:r>
        <w:t>.  As the holding in this case may be taken as precedent in a future criminal case, th</w:t>
      </w:r>
      <w:r w:rsidR="006858D6">
        <w:t>e rule of lenity should apply.</w:t>
      </w:r>
      <w:r>
        <w:t xml:space="preserve">  The claim in the instant case is for a copyright infringement arising from a dispute over the ambiguity of the timing of a signed written agreement.  This ambiguity should be interpreted in a light favorable to the defendant, which would require the signed written agreement to be executed prior to the work being created.  </w:t>
      </w:r>
    </w:p>
    <w:p w14:paraId="12CA27D0" w14:textId="77777777" w:rsidR="000E237F" w:rsidRDefault="000E237F" w:rsidP="00DA5663">
      <w:pPr>
        <w:spacing w:line="240" w:lineRule="auto"/>
        <w:ind w:left="720" w:hanging="720"/>
        <w:rPr>
          <w:b/>
        </w:rPr>
      </w:pPr>
      <w:r>
        <w:rPr>
          <w:b/>
        </w:rPr>
        <w:t>III.</w:t>
      </w:r>
      <w:r>
        <w:rPr>
          <w:b/>
        </w:rPr>
        <w:tab/>
        <w:t>THE MOTION TO DISMISS SHOULD BE GRANTED AS OGS DOES NOT HAVE A LEGAL RIGHT TO BRING THIS COPYRIGHT INFRINGMENT CLAIM</w:t>
      </w:r>
    </w:p>
    <w:p w14:paraId="70660697" w14:textId="77777777" w:rsidR="000E237F" w:rsidRDefault="000E237F" w:rsidP="00DA5663">
      <w:pPr>
        <w:spacing w:line="240" w:lineRule="auto"/>
        <w:ind w:left="720" w:hanging="720"/>
        <w:rPr>
          <w:b/>
        </w:rPr>
      </w:pPr>
    </w:p>
    <w:p w14:paraId="1517B942" w14:textId="77777777" w:rsidR="000E237F" w:rsidRDefault="000E237F" w:rsidP="00DA5663">
      <w:pPr>
        <w:spacing w:line="240" w:lineRule="auto"/>
        <w:ind w:left="720" w:hanging="720"/>
        <w:rPr>
          <w:b/>
        </w:rPr>
      </w:pPr>
      <w:r>
        <w:rPr>
          <w:b/>
        </w:rPr>
        <w:tab/>
        <w:t>A.  Plaintiff Was Not The Copyright Owner When The Copyright Was Registered</w:t>
      </w:r>
    </w:p>
    <w:p w14:paraId="4A2AC9C1" w14:textId="77777777" w:rsidR="000E237F" w:rsidRDefault="000E237F" w:rsidP="00DA5663">
      <w:pPr>
        <w:spacing w:line="240" w:lineRule="auto"/>
        <w:ind w:left="720" w:hanging="720"/>
      </w:pPr>
      <w:r>
        <w:rPr>
          <w:b/>
        </w:rPr>
        <w:tab/>
      </w:r>
    </w:p>
    <w:p w14:paraId="668AD477" w14:textId="77777777" w:rsidR="000E237F" w:rsidRDefault="000E237F" w:rsidP="00DA5663">
      <w:pPr>
        <w:ind w:firstLine="720"/>
      </w:pPr>
      <w:r>
        <w:t xml:space="preserve">The work made for hire agreement is not valid until a written agreement has been signed by both </w:t>
      </w:r>
      <w:r w:rsidR="006858D6">
        <w:t xml:space="preserve">parties.  </w:t>
      </w:r>
      <w:proofErr w:type="gramStart"/>
      <w:r w:rsidR="006858D6">
        <w:t>17 U.S.C. § 101</w:t>
      </w:r>
      <w:r>
        <w:t>.</w:t>
      </w:r>
      <w:proofErr w:type="gramEnd"/>
      <w:r>
        <w:t xml:space="preserve">  Assuming that the written agreement signed by both parties was a valid work made for hire agreement, Plaintiff would not be considered owner of the copyright until April 6, 2010, when the </w:t>
      </w:r>
      <w:r w:rsidR="006858D6">
        <w:t>parties signed the agreement.  Compl. ¶ 24.</w:t>
      </w:r>
      <w:r>
        <w:t xml:space="preserve">  From the point of the screenplay’s inception to April 6, Lime would be considered the screenplay’s copyright owner.  Plaintiff applied for the copyright on April 2, 2010, immediately upon receiv</w:t>
      </w:r>
      <w:r w:rsidR="006858D6">
        <w:t>ing the screenplay from Lime.  Compl. ¶ 22</w:t>
      </w:r>
      <w:r>
        <w:t xml:space="preserve">.  </w:t>
      </w:r>
      <w:r w:rsidR="00D209B1">
        <w:t>As the work made for hire agreement had not yet been signed o</w:t>
      </w:r>
      <w:r>
        <w:t>n April 2, copyright ownership belonged exclusively to Lime, not to Plaintiff.</w:t>
      </w:r>
    </w:p>
    <w:p w14:paraId="7705D3E3" w14:textId="77777777" w:rsidR="000E237F" w:rsidRDefault="000E237F" w:rsidP="00DA5663">
      <w:pPr>
        <w:ind w:firstLine="720"/>
        <w:rPr>
          <w:b/>
        </w:rPr>
      </w:pPr>
      <w:r>
        <w:rPr>
          <w:b/>
        </w:rPr>
        <w:lastRenderedPageBreak/>
        <w:t>B.  Plaintiff Erroneously Obtained the Copyright Registration</w:t>
      </w:r>
    </w:p>
    <w:p w14:paraId="359E9291" w14:textId="77777777" w:rsidR="000E237F" w:rsidRDefault="000E237F" w:rsidP="00DA5663">
      <w:pPr>
        <w:ind w:firstLine="720"/>
      </w:pPr>
      <w:r>
        <w:t xml:space="preserve">The Copyright Act specifies that only “the owner of copyright or of any exclusive right in the work may obtain registration of the copyright claim.”  </w:t>
      </w:r>
      <w:proofErr w:type="gramStart"/>
      <w:r>
        <w:t>17 U</w:t>
      </w:r>
      <w:r w:rsidR="006858D6">
        <w:t>.</w:t>
      </w:r>
      <w:r>
        <w:t>S</w:t>
      </w:r>
      <w:r w:rsidR="006858D6">
        <w:t>.</w:t>
      </w:r>
      <w:r>
        <w:t>C</w:t>
      </w:r>
      <w:r w:rsidR="006858D6">
        <w:t>.</w:t>
      </w:r>
      <w:r>
        <w:t xml:space="preserve"> § 408 (a).</w:t>
      </w:r>
      <w:proofErr w:type="gramEnd"/>
      <w:r>
        <w:t xml:space="preserve">  As Plaintiff did not hold ownership or an exclusive right to the screenplay on April 2, Plaintiff was not eligible to obtain registration of the copyright claim.  Plaintiff claims that it complied with the copyright laws when it registered for the copyri</w:t>
      </w:r>
      <w:r w:rsidR="006858D6">
        <w:t>ght, Compl. ¶ 22</w:t>
      </w:r>
      <w:r>
        <w:t xml:space="preserve">, but if the Register of Copyrights was aware that Plaintiff did not own rights to the screenplay at the time, the application would have been rejected.   </w:t>
      </w:r>
      <w:r w:rsidR="00CA75E5">
        <w:t>As the registration would have been rejected, it would not satisfy the requirements of 17 U.S.C. § 411.</w:t>
      </w:r>
    </w:p>
    <w:p w14:paraId="1F699C1F" w14:textId="77777777" w:rsidR="000E237F" w:rsidRDefault="000E237F" w:rsidP="004A46A2">
      <w:pPr>
        <w:spacing w:line="240" w:lineRule="auto"/>
        <w:ind w:firstLine="720"/>
        <w:rPr>
          <w:b/>
        </w:rPr>
      </w:pPr>
      <w:r>
        <w:rPr>
          <w:b/>
        </w:rPr>
        <w:t>C.  A Copyright Infringement Claim Can Only Be Brought After Registration Made In Accordance With The Copyright Act</w:t>
      </w:r>
    </w:p>
    <w:p w14:paraId="319703C4" w14:textId="77777777" w:rsidR="000E237F" w:rsidRDefault="000E237F" w:rsidP="004A46A2">
      <w:pPr>
        <w:spacing w:line="240" w:lineRule="auto"/>
        <w:ind w:firstLine="720"/>
        <w:rPr>
          <w:b/>
        </w:rPr>
      </w:pPr>
    </w:p>
    <w:p w14:paraId="09783A04" w14:textId="77777777" w:rsidR="000E237F" w:rsidRDefault="000E237F" w:rsidP="004A46A2">
      <w:pPr>
        <w:ind w:firstLine="720"/>
      </w:pPr>
      <w:r>
        <w:t xml:space="preserve">The Copyright Act specifies that “No civil action for infringement of the copyright in any United States work shall be instituted until…registration of the copyright claim has been made in accordance with this title.  </w:t>
      </w:r>
      <w:proofErr w:type="gramStart"/>
      <w:r>
        <w:t xml:space="preserve">17 </w:t>
      </w:r>
      <w:r w:rsidR="006858D6">
        <w:t>U.S.C. § 411(a)</w:t>
      </w:r>
      <w:r>
        <w:t>.</w:t>
      </w:r>
      <w:proofErr w:type="gramEnd"/>
      <w:r>
        <w:t xml:space="preserve">  The facts clearly show that the Plaintiff did not make a registration claim in accordance with Title 17.  As a result, Plaintiff cannot bring a civil action for infringement of the copyright on the screenplay. </w:t>
      </w:r>
    </w:p>
    <w:p w14:paraId="64566DB0" w14:textId="77777777" w:rsidR="000E237F" w:rsidRDefault="000E237F" w:rsidP="00CB5232">
      <w:pPr>
        <w:jc w:val="center"/>
        <w:rPr>
          <w:b/>
          <w:u w:val="single"/>
        </w:rPr>
      </w:pPr>
      <w:r>
        <w:rPr>
          <w:b/>
          <w:u w:val="single"/>
        </w:rPr>
        <w:t>CONCLUSION</w:t>
      </w:r>
    </w:p>
    <w:p w14:paraId="62BAE8A7" w14:textId="77777777" w:rsidR="00CB5232" w:rsidRDefault="000E237F" w:rsidP="00CB5232">
      <w:r>
        <w:tab/>
        <w:t>The Defendants did not violate The Federal Copyright Act of 1976.  Th</w:t>
      </w:r>
      <w:r w:rsidR="006858D6">
        <w:t xml:space="preserve">e work was created by </w:t>
      </w:r>
      <w:r w:rsidR="00CA75E5">
        <w:t>Lime</w:t>
      </w:r>
      <w:r>
        <w:t>, and a written agreement was not signed prior to creation of the screenplay as required by the Act.  In addition, Plaintiff erroneously registered the copyright, and thus may not legally bring this copyright infringement claim.  Along with a plain la</w:t>
      </w:r>
      <w:r w:rsidR="006858D6">
        <w:t xml:space="preserve">nguage reading of the </w:t>
      </w:r>
      <w:r>
        <w:t xml:space="preserve">Act, the legislative history, canons of construction, and judicial precedent supports the view that this case should be dismissed for failure to state a claim upon which relief can be granted.  </w:t>
      </w:r>
    </w:p>
    <w:p w14:paraId="377C4834" w14:textId="77777777" w:rsidR="00CA75E5" w:rsidRPr="00252DBA" w:rsidRDefault="00CA75E5" w:rsidP="00252DBA">
      <w:r>
        <w:t>Date: March 22</w:t>
      </w:r>
      <w:r w:rsidR="00327D6C">
        <w:t>, 2012</w:t>
      </w:r>
      <w:r w:rsidR="00327D6C">
        <w:tab/>
      </w:r>
      <w:r w:rsidR="00327D6C">
        <w:tab/>
      </w:r>
      <w:r w:rsidR="00327D6C">
        <w:tab/>
      </w:r>
      <w:r w:rsidR="00327D6C">
        <w:tab/>
      </w:r>
      <w:r w:rsidR="00327D6C">
        <w:tab/>
      </w:r>
      <w:r w:rsidR="00327D6C">
        <w:tab/>
        <w:t>Respectfully Submitted,</w:t>
      </w:r>
    </w:p>
    <w:sectPr w:rsidR="00CA75E5" w:rsidRPr="00252DBA" w:rsidSect="00FC3C9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17AC9" w14:textId="77777777" w:rsidR="00CE04DF" w:rsidRDefault="00CE04DF" w:rsidP="00707295">
      <w:pPr>
        <w:spacing w:line="240" w:lineRule="auto"/>
      </w:pPr>
      <w:r>
        <w:separator/>
      </w:r>
    </w:p>
  </w:endnote>
  <w:endnote w:type="continuationSeparator" w:id="0">
    <w:p w14:paraId="5186588B" w14:textId="77777777" w:rsidR="00CE04DF" w:rsidRDefault="00CE04DF" w:rsidP="007072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3091F" w14:textId="77777777" w:rsidR="008A3FAC" w:rsidRDefault="00CA75E5">
    <w:pPr>
      <w:pStyle w:val="Footer"/>
    </w:pPr>
    <w:r>
      <w:tab/>
    </w:r>
    <w:r w:rsidR="008A3FAC">
      <w:t xml:space="preserve">Page </w:t>
    </w:r>
    <w:r w:rsidR="008A3FAC">
      <w:rPr>
        <w:b/>
      </w:rPr>
      <w:fldChar w:fldCharType="begin"/>
    </w:r>
    <w:r w:rsidR="008A3FAC">
      <w:rPr>
        <w:b/>
      </w:rPr>
      <w:instrText xml:space="preserve"> PAGE  \* Arabic  \* MERGEFORMAT </w:instrText>
    </w:r>
    <w:r w:rsidR="008A3FAC">
      <w:rPr>
        <w:b/>
      </w:rPr>
      <w:fldChar w:fldCharType="separate"/>
    </w:r>
    <w:r w:rsidR="007E76C2">
      <w:rPr>
        <w:b/>
        <w:noProof/>
      </w:rPr>
      <w:t>1</w:t>
    </w:r>
    <w:r w:rsidR="008A3FAC">
      <w:rPr>
        <w:b/>
      </w:rPr>
      <w:fldChar w:fldCharType="end"/>
    </w:r>
    <w:r w:rsidR="008A3FAC">
      <w:t xml:space="preserve"> of </w:t>
    </w:r>
    <w:fldSimple w:instr=" NUMPAGES  \* Arabic  \* MERGEFORMAT ">
      <w:r w:rsidR="007E76C2" w:rsidRPr="007E76C2">
        <w:rPr>
          <w:b/>
          <w:noProof/>
        </w:rPr>
        <w:t>15</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ABE32" w14:textId="77777777" w:rsidR="00CE04DF" w:rsidRDefault="00CE04DF" w:rsidP="00707295">
      <w:pPr>
        <w:spacing w:line="240" w:lineRule="auto"/>
      </w:pPr>
      <w:r>
        <w:separator/>
      </w:r>
    </w:p>
  </w:footnote>
  <w:footnote w:type="continuationSeparator" w:id="0">
    <w:p w14:paraId="597E1BE8" w14:textId="77777777" w:rsidR="00CE04DF" w:rsidRDefault="00CE04DF" w:rsidP="0070729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E6"/>
    <w:rsid w:val="000073FA"/>
    <w:rsid w:val="00007A07"/>
    <w:rsid w:val="000229B9"/>
    <w:rsid w:val="00031245"/>
    <w:rsid w:val="00042F73"/>
    <w:rsid w:val="0004509A"/>
    <w:rsid w:val="00051D10"/>
    <w:rsid w:val="00073B43"/>
    <w:rsid w:val="000A2AFA"/>
    <w:rsid w:val="000C1892"/>
    <w:rsid w:val="000D4305"/>
    <w:rsid w:val="000D4E9A"/>
    <w:rsid w:val="000E039B"/>
    <w:rsid w:val="000E148D"/>
    <w:rsid w:val="000E237F"/>
    <w:rsid w:val="000F56B8"/>
    <w:rsid w:val="00112223"/>
    <w:rsid w:val="00124A30"/>
    <w:rsid w:val="00132F12"/>
    <w:rsid w:val="001374F0"/>
    <w:rsid w:val="001609DF"/>
    <w:rsid w:val="0016295A"/>
    <w:rsid w:val="0019403F"/>
    <w:rsid w:val="00197133"/>
    <w:rsid w:val="001B1B8A"/>
    <w:rsid w:val="001C4195"/>
    <w:rsid w:val="001D1C02"/>
    <w:rsid w:val="001D4194"/>
    <w:rsid w:val="001E478E"/>
    <w:rsid w:val="001F234F"/>
    <w:rsid w:val="001F747C"/>
    <w:rsid w:val="00252DBA"/>
    <w:rsid w:val="0025537A"/>
    <w:rsid w:val="00282226"/>
    <w:rsid w:val="00294D3C"/>
    <w:rsid w:val="00297B4C"/>
    <w:rsid w:val="002B38A4"/>
    <w:rsid w:val="002B6DF9"/>
    <w:rsid w:val="002B7CBB"/>
    <w:rsid w:val="002C34E0"/>
    <w:rsid w:val="002D62B5"/>
    <w:rsid w:val="0030197F"/>
    <w:rsid w:val="00303867"/>
    <w:rsid w:val="003122A6"/>
    <w:rsid w:val="00327D6C"/>
    <w:rsid w:val="003318A1"/>
    <w:rsid w:val="00371339"/>
    <w:rsid w:val="003739F0"/>
    <w:rsid w:val="00382246"/>
    <w:rsid w:val="003C0E6A"/>
    <w:rsid w:val="003C4FDB"/>
    <w:rsid w:val="003E01C6"/>
    <w:rsid w:val="00422A65"/>
    <w:rsid w:val="00426B39"/>
    <w:rsid w:val="00433DB9"/>
    <w:rsid w:val="00443E0F"/>
    <w:rsid w:val="00453ACB"/>
    <w:rsid w:val="00466F14"/>
    <w:rsid w:val="004738FE"/>
    <w:rsid w:val="004829DA"/>
    <w:rsid w:val="00486750"/>
    <w:rsid w:val="004A20B5"/>
    <w:rsid w:val="004A46A2"/>
    <w:rsid w:val="004A58AC"/>
    <w:rsid w:val="004A6307"/>
    <w:rsid w:val="004A7513"/>
    <w:rsid w:val="004C41B7"/>
    <w:rsid w:val="004F003B"/>
    <w:rsid w:val="005334E6"/>
    <w:rsid w:val="005623F0"/>
    <w:rsid w:val="00576F59"/>
    <w:rsid w:val="00582509"/>
    <w:rsid w:val="005B61DE"/>
    <w:rsid w:val="005C5C25"/>
    <w:rsid w:val="005F4879"/>
    <w:rsid w:val="00600DCC"/>
    <w:rsid w:val="0063151A"/>
    <w:rsid w:val="00652FD1"/>
    <w:rsid w:val="006608E0"/>
    <w:rsid w:val="006817D8"/>
    <w:rsid w:val="006858D6"/>
    <w:rsid w:val="00696B2F"/>
    <w:rsid w:val="006970B1"/>
    <w:rsid w:val="006C0F2E"/>
    <w:rsid w:val="006C5872"/>
    <w:rsid w:val="006E2D55"/>
    <w:rsid w:val="006E4966"/>
    <w:rsid w:val="007021AD"/>
    <w:rsid w:val="00707295"/>
    <w:rsid w:val="00710EAE"/>
    <w:rsid w:val="007137F0"/>
    <w:rsid w:val="007230A6"/>
    <w:rsid w:val="00724DF1"/>
    <w:rsid w:val="00752C62"/>
    <w:rsid w:val="007552AF"/>
    <w:rsid w:val="007848C8"/>
    <w:rsid w:val="00792BF7"/>
    <w:rsid w:val="00797C1E"/>
    <w:rsid w:val="007A00C6"/>
    <w:rsid w:val="007A4A81"/>
    <w:rsid w:val="007A70A1"/>
    <w:rsid w:val="007D78A9"/>
    <w:rsid w:val="007E715E"/>
    <w:rsid w:val="007E76C2"/>
    <w:rsid w:val="007F24D3"/>
    <w:rsid w:val="00807A65"/>
    <w:rsid w:val="00811B32"/>
    <w:rsid w:val="008149E5"/>
    <w:rsid w:val="0082018E"/>
    <w:rsid w:val="00824F41"/>
    <w:rsid w:val="00831396"/>
    <w:rsid w:val="0083729B"/>
    <w:rsid w:val="00837D09"/>
    <w:rsid w:val="008465FB"/>
    <w:rsid w:val="008676CC"/>
    <w:rsid w:val="0087351D"/>
    <w:rsid w:val="00874931"/>
    <w:rsid w:val="0089111A"/>
    <w:rsid w:val="008A3FAC"/>
    <w:rsid w:val="008A5ABB"/>
    <w:rsid w:val="008B764D"/>
    <w:rsid w:val="008C1C83"/>
    <w:rsid w:val="008C396A"/>
    <w:rsid w:val="008C6985"/>
    <w:rsid w:val="008E4151"/>
    <w:rsid w:val="008F5772"/>
    <w:rsid w:val="009048F0"/>
    <w:rsid w:val="0091258C"/>
    <w:rsid w:val="00935B87"/>
    <w:rsid w:val="009458D1"/>
    <w:rsid w:val="00962D13"/>
    <w:rsid w:val="00963CBB"/>
    <w:rsid w:val="0097457B"/>
    <w:rsid w:val="00980671"/>
    <w:rsid w:val="00980E7C"/>
    <w:rsid w:val="00983616"/>
    <w:rsid w:val="009936A5"/>
    <w:rsid w:val="009B4971"/>
    <w:rsid w:val="009C1D15"/>
    <w:rsid w:val="009D3E50"/>
    <w:rsid w:val="009D497F"/>
    <w:rsid w:val="009E2A87"/>
    <w:rsid w:val="009E4930"/>
    <w:rsid w:val="009E6EAB"/>
    <w:rsid w:val="009F42F6"/>
    <w:rsid w:val="00A123B4"/>
    <w:rsid w:val="00A26050"/>
    <w:rsid w:val="00A34A66"/>
    <w:rsid w:val="00A43165"/>
    <w:rsid w:val="00A45876"/>
    <w:rsid w:val="00A64C8F"/>
    <w:rsid w:val="00A71807"/>
    <w:rsid w:val="00A72B2D"/>
    <w:rsid w:val="00A74DFE"/>
    <w:rsid w:val="00A80CD9"/>
    <w:rsid w:val="00A81879"/>
    <w:rsid w:val="00AB574C"/>
    <w:rsid w:val="00AD2436"/>
    <w:rsid w:val="00AD2B78"/>
    <w:rsid w:val="00AD6520"/>
    <w:rsid w:val="00AD6D7E"/>
    <w:rsid w:val="00B06967"/>
    <w:rsid w:val="00B252DE"/>
    <w:rsid w:val="00B32566"/>
    <w:rsid w:val="00B35F4A"/>
    <w:rsid w:val="00B54796"/>
    <w:rsid w:val="00B579FC"/>
    <w:rsid w:val="00B65E39"/>
    <w:rsid w:val="00B73EB0"/>
    <w:rsid w:val="00B77AA2"/>
    <w:rsid w:val="00B80062"/>
    <w:rsid w:val="00B812C7"/>
    <w:rsid w:val="00B856F7"/>
    <w:rsid w:val="00B85DCE"/>
    <w:rsid w:val="00B96E20"/>
    <w:rsid w:val="00B97051"/>
    <w:rsid w:val="00BA0833"/>
    <w:rsid w:val="00BB46C1"/>
    <w:rsid w:val="00BC450E"/>
    <w:rsid w:val="00BD7831"/>
    <w:rsid w:val="00BE650A"/>
    <w:rsid w:val="00BF2058"/>
    <w:rsid w:val="00BF27C6"/>
    <w:rsid w:val="00BF4F0E"/>
    <w:rsid w:val="00C109DC"/>
    <w:rsid w:val="00C1677D"/>
    <w:rsid w:val="00C31EDC"/>
    <w:rsid w:val="00C4592E"/>
    <w:rsid w:val="00C51C8B"/>
    <w:rsid w:val="00C561E5"/>
    <w:rsid w:val="00C563D6"/>
    <w:rsid w:val="00C571EC"/>
    <w:rsid w:val="00C7536B"/>
    <w:rsid w:val="00C8046A"/>
    <w:rsid w:val="00C902B0"/>
    <w:rsid w:val="00CA6E21"/>
    <w:rsid w:val="00CA75E5"/>
    <w:rsid w:val="00CB29FA"/>
    <w:rsid w:val="00CB4097"/>
    <w:rsid w:val="00CB5232"/>
    <w:rsid w:val="00CB52B8"/>
    <w:rsid w:val="00CC3C21"/>
    <w:rsid w:val="00CD1B1C"/>
    <w:rsid w:val="00CE04DF"/>
    <w:rsid w:val="00CE63C5"/>
    <w:rsid w:val="00D14A6D"/>
    <w:rsid w:val="00D209B1"/>
    <w:rsid w:val="00D307E1"/>
    <w:rsid w:val="00D30E6A"/>
    <w:rsid w:val="00D33047"/>
    <w:rsid w:val="00D35769"/>
    <w:rsid w:val="00D529BA"/>
    <w:rsid w:val="00D549AF"/>
    <w:rsid w:val="00D6059C"/>
    <w:rsid w:val="00D70E9A"/>
    <w:rsid w:val="00DA3A44"/>
    <w:rsid w:val="00DA5663"/>
    <w:rsid w:val="00DB0A21"/>
    <w:rsid w:val="00DB498A"/>
    <w:rsid w:val="00DC6868"/>
    <w:rsid w:val="00DD4590"/>
    <w:rsid w:val="00DD6E01"/>
    <w:rsid w:val="00DF20C2"/>
    <w:rsid w:val="00E06107"/>
    <w:rsid w:val="00E1136E"/>
    <w:rsid w:val="00E12C4B"/>
    <w:rsid w:val="00E16853"/>
    <w:rsid w:val="00E17B04"/>
    <w:rsid w:val="00E3329B"/>
    <w:rsid w:val="00E37022"/>
    <w:rsid w:val="00E53592"/>
    <w:rsid w:val="00E8122D"/>
    <w:rsid w:val="00E94CFB"/>
    <w:rsid w:val="00EA223B"/>
    <w:rsid w:val="00EB790B"/>
    <w:rsid w:val="00ED19E0"/>
    <w:rsid w:val="00ED2997"/>
    <w:rsid w:val="00EE427F"/>
    <w:rsid w:val="00EE7B6A"/>
    <w:rsid w:val="00F00BD1"/>
    <w:rsid w:val="00F2024E"/>
    <w:rsid w:val="00F41F50"/>
    <w:rsid w:val="00F42261"/>
    <w:rsid w:val="00F53CD4"/>
    <w:rsid w:val="00F62C7D"/>
    <w:rsid w:val="00F640C6"/>
    <w:rsid w:val="00F817CD"/>
    <w:rsid w:val="00FA140C"/>
    <w:rsid w:val="00FA5C79"/>
    <w:rsid w:val="00FB1224"/>
    <w:rsid w:val="00FC104C"/>
    <w:rsid w:val="00FC2B20"/>
    <w:rsid w:val="00FC3C92"/>
    <w:rsid w:val="00FC4B51"/>
    <w:rsid w:val="00FC60DD"/>
    <w:rsid w:val="00FE5124"/>
    <w:rsid w:val="00FF5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E778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4E6"/>
    <w:pPr>
      <w:spacing w:line="48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uiPriority w:val="59"/>
    <w:rsid w:val="005334E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5334E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334E6"/>
    <w:pPr>
      <w:autoSpaceDE w:val="0"/>
      <w:autoSpaceDN w:val="0"/>
      <w:adjustRightInd w:val="0"/>
    </w:pPr>
    <w:rPr>
      <w:color w:val="000000"/>
      <w:sz w:val="24"/>
      <w:szCs w:val="24"/>
    </w:rPr>
  </w:style>
  <w:style w:type="paragraph" w:styleId="Header">
    <w:name w:val="header"/>
    <w:basedOn w:val="Normal"/>
    <w:link w:val="HeaderChar"/>
    <w:uiPriority w:val="99"/>
    <w:rsid w:val="00707295"/>
    <w:pPr>
      <w:tabs>
        <w:tab w:val="center" w:pos="4680"/>
        <w:tab w:val="right" w:pos="9360"/>
      </w:tabs>
      <w:spacing w:line="240" w:lineRule="auto"/>
    </w:pPr>
  </w:style>
  <w:style w:type="character" w:customStyle="1" w:styleId="HeaderChar">
    <w:name w:val="Header Char"/>
    <w:basedOn w:val="DefaultParagraphFont"/>
    <w:link w:val="Header"/>
    <w:uiPriority w:val="99"/>
    <w:locked/>
    <w:rsid w:val="00707295"/>
    <w:rPr>
      <w:rFonts w:cs="Times New Roman"/>
      <w:sz w:val="22"/>
      <w:szCs w:val="22"/>
    </w:rPr>
  </w:style>
  <w:style w:type="paragraph" w:styleId="Footer">
    <w:name w:val="footer"/>
    <w:basedOn w:val="Normal"/>
    <w:link w:val="FooterChar"/>
    <w:uiPriority w:val="99"/>
    <w:rsid w:val="00707295"/>
    <w:pPr>
      <w:tabs>
        <w:tab w:val="center" w:pos="4680"/>
        <w:tab w:val="right" w:pos="9360"/>
      </w:tabs>
      <w:spacing w:line="240" w:lineRule="auto"/>
    </w:pPr>
  </w:style>
  <w:style w:type="character" w:customStyle="1" w:styleId="FooterChar">
    <w:name w:val="Footer Char"/>
    <w:basedOn w:val="DefaultParagraphFont"/>
    <w:link w:val="Footer"/>
    <w:uiPriority w:val="99"/>
    <w:locked/>
    <w:rsid w:val="00707295"/>
    <w:rPr>
      <w:rFonts w:cs="Times New Roman"/>
      <w:sz w:val="22"/>
      <w:szCs w:val="22"/>
    </w:rPr>
  </w:style>
  <w:style w:type="character" w:styleId="CommentReference">
    <w:name w:val="annotation reference"/>
    <w:basedOn w:val="DefaultParagraphFont"/>
    <w:uiPriority w:val="99"/>
    <w:semiHidden/>
    <w:rsid w:val="00B32566"/>
    <w:rPr>
      <w:rFonts w:cs="Times New Roman"/>
      <w:sz w:val="16"/>
      <w:szCs w:val="16"/>
    </w:rPr>
  </w:style>
  <w:style w:type="paragraph" w:styleId="CommentText">
    <w:name w:val="annotation text"/>
    <w:basedOn w:val="Normal"/>
    <w:link w:val="CommentTextChar"/>
    <w:uiPriority w:val="99"/>
    <w:semiHidden/>
    <w:rsid w:val="009E6EA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80671"/>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9E6EAB"/>
    <w:rPr>
      <w:b/>
      <w:bCs/>
    </w:rPr>
  </w:style>
  <w:style w:type="character" w:customStyle="1" w:styleId="CommentSubjectChar">
    <w:name w:val="Comment Subject Char"/>
    <w:basedOn w:val="CommentTextChar"/>
    <w:link w:val="CommentSubject"/>
    <w:uiPriority w:val="99"/>
    <w:semiHidden/>
    <w:locked/>
    <w:rsid w:val="00980671"/>
    <w:rPr>
      <w:rFonts w:eastAsia="Times New Roman" w:cs="Times New Roman"/>
      <w:b/>
      <w:bCs/>
      <w:sz w:val="20"/>
      <w:szCs w:val="20"/>
    </w:rPr>
  </w:style>
  <w:style w:type="paragraph" w:styleId="BalloonText">
    <w:name w:val="Balloon Text"/>
    <w:basedOn w:val="Normal"/>
    <w:link w:val="BalloonTextChar"/>
    <w:uiPriority w:val="99"/>
    <w:semiHidden/>
    <w:rsid w:val="009E6EA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80671"/>
    <w:rPr>
      <w:rFonts w:ascii="Tahoma" w:eastAsia="Times New Roman" w:hAnsi="Tahoma" w:cs="Tahoma"/>
      <w:sz w:val="16"/>
      <w:szCs w:val="16"/>
    </w:rPr>
  </w:style>
  <w:style w:type="paragraph" w:styleId="ListParagraph">
    <w:name w:val="List Paragraph"/>
    <w:basedOn w:val="Normal"/>
    <w:uiPriority w:val="34"/>
    <w:qFormat/>
    <w:rsid w:val="00ED2997"/>
    <w:pPr>
      <w:ind w:left="720"/>
      <w:contextualSpacing/>
    </w:pPr>
  </w:style>
  <w:style w:type="character" w:customStyle="1" w:styleId="costarpage">
    <w:name w:val="co_starpage"/>
    <w:basedOn w:val="DefaultParagraphFont"/>
    <w:rsid w:val="00DB498A"/>
  </w:style>
  <w:style w:type="character" w:styleId="Emphasis">
    <w:name w:val="Emphasis"/>
    <w:basedOn w:val="DefaultParagraphFont"/>
    <w:uiPriority w:val="20"/>
    <w:qFormat/>
    <w:locked/>
    <w:rsid w:val="000E039B"/>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4E6"/>
    <w:pPr>
      <w:spacing w:line="48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uiPriority w:val="59"/>
    <w:rsid w:val="005334E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5334E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334E6"/>
    <w:pPr>
      <w:autoSpaceDE w:val="0"/>
      <w:autoSpaceDN w:val="0"/>
      <w:adjustRightInd w:val="0"/>
    </w:pPr>
    <w:rPr>
      <w:color w:val="000000"/>
      <w:sz w:val="24"/>
      <w:szCs w:val="24"/>
    </w:rPr>
  </w:style>
  <w:style w:type="paragraph" w:styleId="Header">
    <w:name w:val="header"/>
    <w:basedOn w:val="Normal"/>
    <w:link w:val="HeaderChar"/>
    <w:uiPriority w:val="99"/>
    <w:rsid w:val="00707295"/>
    <w:pPr>
      <w:tabs>
        <w:tab w:val="center" w:pos="4680"/>
        <w:tab w:val="right" w:pos="9360"/>
      </w:tabs>
      <w:spacing w:line="240" w:lineRule="auto"/>
    </w:pPr>
  </w:style>
  <w:style w:type="character" w:customStyle="1" w:styleId="HeaderChar">
    <w:name w:val="Header Char"/>
    <w:basedOn w:val="DefaultParagraphFont"/>
    <w:link w:val="Header"/>
    <w:uiPriority w:val="99"/>
    <w:locked/>
    <w:rsid w:val="00707295"/>
    <w:rPr>
      <w:rFonts w:cs="Times New Roman"/>
      <w:sz w:val="22"/>
      <w:szCs w:val="22"/>
    </w:rPr>
  </w:style>
  <w:style w:type="paragraph" w:styleId="Footer">
    <w:name w:val="footer"/>
    <w:basedOn w:val="Normal"/>
    <w:link w:val="FooterChar"/>
    <w:uiPriority w:val="99"/>
    <w:rsid w:val="00707295"/>
    <w:pPr>
      <w:tabs>
        <w:tab w:val="center" w:pos="4680"/>
        <w:tab w:val="right" w:pos="9360"/>
      </w:tabs>
      <w:spacing w:line="240" w:lineRule="auto"/>
    </w:pPr>
  </w:style>
  <w:style w:type="character" w:customStyle="1" w:styleId="FooterChar">
    <w:name w:val="Footer Char"/>
    <w:basedOn w:val="DefaultParagraphFont"/>
    <w:link w:val="Footer"/>
    <w:uiPriority w:val="99"/>
    <w:locked/>
    <w:rsid w:val="00707295"/>
    <w:rPr>
      <w:rFonts w:cs="Times New Roman"/>
      <w:sz w:val="22"/>
      <w:szCs w:val="22"/>
    </w:rPr>
  </w:style>
  <w:style w:type="character" w:styleId="CommentReference">
    <w:name w:val="annotation reference"/>
    <w:basedOn w:val="DefaultParagraphFont"/>
    <w:uiPriority w:val="99"/>
    <w:semiHidden/>
    <w:rsid w:val="00B32566"/>
    <w:rPr>
      <w:rFonts w:cs="Times New Roman"/>
      <w:sz w:val="16"/>
      <w:szCs w:val="16"/>
    </w:rPr>
  </w:style>
  <w:style w:type="paragraph" w:styleId="CommentText">
    <w:name w:val="annotation text"/>
    <w:basedOn w:val="Normal"/>
    <w:link w:val="CommentTextChar"/>
    <w:uiPriority w:val="99"/>
    <w:semiHidden/>
    <w:rsid w:val="009E6EA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80671"/>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9E6EAB"/>
    <w:rPr>
      <w:b/>
      <w:bCs/>
    </w:rPr>
  </w:style>
  <w:style w:type="character" w:customStyle="1" w:styleId="CommentSubjectChar">
    <w:name w:val="Comment Subject Char"/>
    <w:basedOn w:val="CommentTextChar"/>
    <w:link w:val="CommentSubject"/>
    <w:uiPriority w:val="99"/>
    <w:semiHidden/>
    <w:locked/>
    <w:rsid w:val="00980671"/>
    <w:rPr>
      <w:rFonts w:eastAsia="Times New Roman" w:cs="Times New Roman"/>
      <w:b/>
      <w:bCs/>
      <w:sz w:val="20"/>
      <w:szCs w:val="20"/>
    </w:rPr>
  </w:style>
  <w:style w:type="paragraph" w:styleId="BalloonText">
    <w:name w:val="Balloon Text"/>
    <w:basedOn w:val="Normal"/>
    <w:link w:val="BalloonTextChar"/>
    <w:uiPriority w:val="99"/>
    <w:semiHidden/>
    <w:rsid w:val="009E6EA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80671"/>
    <w:rPr>
      <w:rFonts w:ascii="Tahoma" w:eastAsia="Times New Roman" w:hAnsi="Tahoma" w:cs="Tahoma"/>
      <w:sz w:val="16"/>
      <w:szCs w:val="16"/>
    </w:rPr>
  </w:style>
  <w:style w:type="paragraph" w:styleId="ListParagraph">
    <w:name w:val="List Paragraph"/>
    <w:basedOn w:val="Normal"/>
    <w:uiPriority w:val="34"/>
    <w:qFormat/>
    <w:rsid w:val="00ED2997"/>
    <w:pPr>
      <w:ind w:left="720"/>
      <w:contextualSpacing/>
    </w:pPr>
  </w:style>
  <w:style w:type="character" w:customStyle="1" w:styleId="costarpage">
    <w:name w:val="co_starpage"/>
    <w:basedOn w:val="DefaultParagraphFont"/>
    <w:rsid w:val="00DB498A"/>
  </w:style>
  <w:style w:type="character" w:styleId="Emphasis">
    <w:name w:val="Emphasis"/>
    <w:basedOn w:val="DefaultParagraphFont"/>
    <w:uiPriority w:val="20"/>
    <w:qFormat/>
    <w:locked/>
    <w:rsid w:val="000E03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55926">
      <w:bodyDiv w:val="1"/>
      <w:marLeft w:val="0"/>
      <w:marRight w:val="0"/>
      <w:marTop w:val="0"/>
      <w:marBottom w:val="0"/>
      <w:divBdr>
        <w:top w:val="none" w:sz="0" w:space="0" w:color="auto"/>
        <w:left w:val="none" w:sz="0" w:space="0" w:color="auto"/>
        <w:bottom w:val="none" w:sz="0" w:space="0" w:color="auto"/>
        <w:right w:val="none" w:sz="0" w:space="0" w:color="auto"/>
      </w:divBdr>
      <w:divsChild>
        <w:div w:id="1381174376">
          <w:marLeft w:val="0"/>
          <w:marRight w:val="0"/>
          <w:marTop w:val="0"/>
          <w:marBottom w:val="0"/>
          <w:divBdr>
            <w:top w:val="none" w:sz="0" w:space="0" w:color="auto"/>
            <w:left w:val="none" w:sz="0" w:space="0" w:color="auto"/>
            <w:bottom w:val="none" w:sz="0" w:space="0" w:color="auto"/>
            <w:right w:val="none" w:sz="0" w:space="0" w:color="auto"/>
          </w:divBdr>
          <w:divsChild>
            <w:div w:id="70393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3318">
      <w:bodyDiv w:val="1"/>
      <w:marLeft w:val="0"/>
      <w:marRight w:val="0"/>
      <w:marTop w:val="0"/>
      <w:marBottom w:val="0"/>
      <w:divBdr>
        <w:top w:val="none" w:sz="0" w:space="0" w:color="auto"/>
        <w:left w:val="none" w:sz="0" w:space="0" w:color="auto"/>
        <w:bottom w:val="none" w:sz="0" w:space="0" w:color="auto"/>
        <w:right w:val="none" w:sz="0" w:space="0" w:color="auto"/>
      </w:divBdr>
    </w:div>
    <w:div w:id="316421755">
      <w:marLeft w:val="0"/>
      <w:marRight w:val="0"/>
      <w:marTop w:val="0"/>
      <w:marBottom w:val="0"/>
      <w:divBdr>
        <w:top w:val="none" w:sz="0" w:space="0" w:color="auto"/>
        <w:left w:val="none" w:sz="0" w:space="0" w:color="auto"/>
        <w:bottom w:val="none" w:sz="0" w:space="0" w:color="auto"/>
        <w:right w:val="none" w:sz="0" w:space="0" w:color="auto"/>
      </w:divBdr>
    </w:div>
    <w:div w:id="316421758">
      <w:marLeft w:val="0"/>
      <w:marRight w:val="0"/>
      <w:marTop w:val="0"/>
      <w:marBottom w:val="0"/>
      <w:divBdr>
        <w:top w:val="none" w:sz="0" w:space="0" w:color="auto"/>
        <w:left w:val="none" w:sz="0" w:space="0" w:color="auto"/>
        <w:bottom w:val="none" w:sz="0" w:space="0" w:color="auto"/>
        <w:right w:val="none" w:sz="0" w:space="0" w:color="auto"/>
      </w:divBdr>
      <w:divsChild>
        <w:div w:id="316421756">
          <w:marLeft w:val="0"/>
          <w:marRight w:val="0"/>
          <w:marTop w:val="0"/>
          <w:marBottom w:val="0"/>
          <w:divBdr>
            <w:top w:val="none" w:sz="0" w:space="0" w:color="auto"/>
            <w:left w:val="none" w:sz="0" w:space="0" w:color="auto"/>
            <w:bottom w:val="none" w:sz="0" w:space="0" w:color="auto"/>
            <w:right w:val="none" w:sz="0" w:space="0" w:color="auto"/>
          </w:divBdr>
          <w:divsChild>
            <w:div w:id="31642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97210">
      <w:bodyDiv w:val="1"/>
      <w:marLeft w:val="0"/>
      <w:marRight w:val="0"/>
      <w:marTop w:val="0"/>
      <w:marBottom w:val="0"/>
      <w:divBdr>
        <w:top w:val="none" w:sz="0" w:space="0" w:color="auto"/>
        <w:left w:val="none" w:sz="0" w:space="0" w:color="auto"/>
        <w:bottom w:val="none" w:sz="0" w:space="0" w:color="auto"/>
        <w:right w:val="none" w:sz="0" w:space="0" w:color="auto"/>
      </w:divBdr>
      <w:divsChild>
        <w:div w:id="2115397430">
          <w:marLeft w:val="0"/>
          <w:marRight w:val="0"/>
          <w:marTop w:val="0"/>
          <w:marBottom w:val="0"/>
          <w:divBdr>
            <w:top w:val="none" w:sz="0" w:space="0" w:color="auto"/>
            <w:left w:val="none" w:sz="0" w:space="0" w:color="auto"/>
            <w:bottom w:val="none" w:sz="0" w:space="0" w:color="auto"/>
            <w:right w:val="none" w:sz="0" w:space="0" w:color="auto"/>
          </w:divBdr>
          <w:divsChild>
            <w:div w:id="28458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96042">
      <w:bodyDiv w:val="1"/>
      <w:marLeft w:val="0"/>
      <w:marRight w:val="0"/>
      <w:marTop w:val="0"/>
      <w:marBottom w:val="0"/>
      <w:divBdr>
        <w:top w:val="none" w:sz="0" w:space="0" w:color="auto"/>
        <w:left w:val="none" w:sz="0" w:space="0" w:color="auto"/>
        <w:bottom w:val="none" w:sz="0" w:space="0" w:color="auto"/>
        <w:right w:val="none" w:sz="0" w:space="0" w:color="auto"/>
      </w:divBdr>
      <w:divsChild>
        <w:div w:id="2075616181">
          <w:marLeft w:val="0"/>
          <w:marRight w:val="0"/>
          <w:marTop w:val="0"/>
          <w:marBottom w:val="0"/>
          <w:divBdr>
            <w:top w:val="none" w:sz="0" w:space="0" w:color="auto"/>
            <w:left w:val="none" w:sz="0" w:space="0" w:color="auto"/>
            <w:bottom w:val="none" w:sz="0" w:space="0" w:color="auto"/>
            <w:right w:val="none" w:sz="0" w:space="0" w:color="auto"/>
          </w:divBdr>
          <w:divsChild>
            <w:div w:id="10670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02347">
      <w:bodyDiv w:val="1"/>
      <w:marLeft w:val="0"/>
      <w:marRight w:val="0"/>
      <w:marTop w:val="0"/>
      <w:marBottom w:val="0"/>
      <w:divBdr>
        <w:top w:val="none" w:sz="0" w:space="0" w:color="auto"/>
        <w:left w:val="none" w:sz="0" w:space="0" w:color="auto"/>
        <w:bottom w:val="none" w:sz="0" w:space="0" w:color="auto"/>
        <w:right w:val="none" w:sz="0" w:space="0" w:color="auto"/>
      </w:divBdr>
      <w:divsChild>
        <w:div w:id="2008168860">
          <w:marLeft w:val="0"/>
          <w:marRight w:val="0"/>
          <w:marTop w:val="0"/>
          <w:marBottom w:val="0"/>
          <w:divBdr>
            <w:top w:val="none" w:sz="0" w:space="0" w:color="auto"/>
            <w:left w:val="none" w:sz="0" w:space="0" w:color="auto"/>
            <w:bottom w:val="none" w:sz="0" w:space="0" w:color="auto"/>
            <w:right w:val="none" w:sz="0" w:space="0" w:color="auto"/>
          </w:divBdr>
          <w:divsChild>
            <w:div w:id="10658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031437">
      <w:bodyDiv w:val="1"/>
      <w:marLeft w:val="0"/>
      <w:marRight w:val="0"/>
      <w:marTop w:val="0"/>
      <w:marBottom w:val="0"/>
      <w:divBdr>
        <w:top w:val="none" w:sz="0" w:space="0" w:color="auto"/>
        <w:left w:val="none" w:sz="0" w:space="0" w:color="auto"/>
        <w:bottom w:val="none" w:sz="0" w:space="0" w:color="auto"/>
        <w:right w:val="none" w:sz="0" w:space="0" w:color="auto"/>
      </w:divBdr>
      <w:divsChild>
        <w:div w:id="224266029">
          <w:marLeft w:val="0"/>
          <w:marRight w:val="0"/>
          <w:marTop w:val="0"/>
          <w:marBottom w:val="0"/>
          <w:divBdr>
            <w:top w:val="none" w:sz="0" w:space="0" w:color="auto"/>
            <w:left w:val="none" w:sz="0" w:space="0" w:color="auto"/>
            <w:bottom w:val="none" w:sz="0" w:space="0" w:color="auto"/>
            <w:right w:val="none" w:sz="0" w:space="0" w:color="auto"/>
          </w:divBdr>
          <w:divsChild>
            <w:div w:id="54769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165326">
      <w:bodyDiv w:val="1"/>
      <w:marLeft w:val="0"/>
      <w:marRight w:val="0"/>
      <w:marTop w:val="0"/>
      <w:marBottom w:val="0"/>
      <w:divBdr>
        <w:top w:val="none" w:sz="0" w:space="0" w:color="auto"/>
        <w:left w:val="none" w:sz="0" w:space="0" w:color="auto"/>
        <w:bottom w:val="none" w:sz="0" w:space="0" w:color="auto"/>
        <w:right w:val="none" w:sz="0" w:space="0" w:color="auto"/>
      </w:divBdr>
      <w:divsChild>
        <w:div w:id="442117656">
          <w:marLeft w:val="0"/>
          <w:marRight w:val="0"/>
          <w:marTop w:val="0"/>
          <w:marBottom w:val="0"/>
          <w:divBdr>
            <w:top w:val="none" w:sz="0" w:space="0" w:color="auto"/>
            <w:left w:val="none" w:sz="0" w:space="0" w:color="auto"/>
            <w:bottom w:val="none" w:sz="0" w:space="0" w:color="auto"/>
            <w:right w:val="none" w:sz="0" w:space="0" w:color="auto"/>
          </w:divBdr>
          <w:divsChild>
            <w:div w:id="145582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855259">
      <w:bodyDiv w:val="1"/>
      <w:marLeft w:val="0"/>
      <w:marRight w:val="0"/>
      <w:marTop w:val="0"/>
      <w:marBottom w:val="0"/>
      <w:divBdr>
        <w:top w:val="none" w:sz="0" w:space="0" w:color="auto"/>
        <w:left w:val="none" w:sz="0" w:space="0" w:color="auto"/>
        <w:bottom w:val="none" w:sz="0" w:space="0" w:color="auto"/>
        <w:right w:val="none" w:sz="0" w:space="0" w:color="auto"/>
      </w:divBdr>
      <w:divsChild>
        <w:div w:id="550263027">
          <w:marLeft w:val="0"/>
          <w:marRight w:val="0"/>
          <w:marTop w:val="0"/>
          <w:marBottom w:val="0"/>
          <w:divBdr>
            <w:top w:val="none" w:sz="0" w:space="0" w:color="auto"/>
            <w:left w:val="none" w:sz="0" w:space="0" w:color="auto"/>
            <w:bottom w:val="none" w:sz="0" w:space="0" w:color="auto"/>
            <w:right w:val="none" w:sz="0" w:space="0" w:color="auto"/>
          </w:divBdr>
          <w:divsChild>
            <w:div w:id="109386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4869</Words>
  <Characters>24494</Characters>
  <Application>Microsoft Macintosh Word</Application>
  <DocSecurity>0</DocSecurity>
  <Lines>376</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29286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2012-04-02T00:06:00Z</cp:lastPrinted>
  <dcterms:created xsi:type="dcterms:W3CDTF">2012-04-15T14:00:00Z</dcterms:created>
  <dcterms:modified xsi:type="dcterms:W3CDTF">2012-06-02T13:09:00Z</dcterms:modified>
  <cp:category/>
</cp:coreProperties>
</file>